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tabs>
          <w:tab w:val="right" w:leader="dot" w:pos="8844"/>
        </w:tabs>
        <w:spacing w:line="560" w:lineRule="exact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附件3</w:t>
      </w:r>
    </w:p>
    <w:p>
      <w:pPr>
        <w:pStyle w:val="13"/>
        <w:tabs>
          <w:tab w:val="right" w:leader="dot" w:pos="8844"/>
        </w:tabs>
        <w:spacing w:before="156" w:beforeLines="50" w:after="156" w:afterLines="50" w:line="300" w:lineRule="auto"/>
        <w:jc w:val="center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体外皮肤变态反应 动力学直接多肽反应试验方法</w:t>
      </w:r>
    </w:p>
    <w:p>
      <w:pPr>
        <w:spacing w:before="156" w:beforeLines="50" w:after="156" w:afterLines="50" w:line="300" w:lineRule="auto"/>
        <w:jc w:val="center"/>
        <w:outlineLvl w:val="2"/>
        <w:rPr>
          <w:rFonts w:ascii="Times New Roman" w:hAnsi="Times New Roman"/>
          <w:b w:val="0"/>
          <w:bCs w:val="0"/>
          <w:szCs w:val="21"/>
          <w:highlight w:val="none"/>
        </w:rPr>
      </w:pPr>
      <w:bookmarkStart w:id="0" w:name="_Toc25532"/>
      <w:r>
        <w:rPr>
          <w:rFonts w:ascii="Times New Roman" w:hAnsi="Times New Roman"/>
          <w:b w:val="0"/>
          <w:bCs w:val="0"/>
          <w:i/>
          <w:iCs/>
          <w:szCs w:val="21"/>
          <w:highlight w:val="none"/>
        </w:rPr>
        <w:t>In Chemico</w:t>
      </w:r>
      <w:r>
        <w:rPr>
          <w:rFonts w:ascii="Times New Roman" w:hAnsi="Times New Roman"/>
          <w:b w:val="0"/>
          <w:bCs w:val="0"/>
          <w:szCs w:val="21"/>
          <w:highlight w:val="none"/>
        </w:rPr>
        <w:t xml:space="preserve"> Skin Sensitisation: Kinetic Direct Peptide Reactivity Assay</w:t>
      </w:r>
      <w:r>
        <w:rPr>
          <w:rFonts w:hint="eastAsia" w:ascii="Times New Roman" w:hAnsi="Times New Roman"/>
          <w:b w:val="0"/>
          <w:bCs w:val="0"/>
          <w:szCs w:val="21"/>
          <w:highlight w:val="none"/>
        </w:rPr>
        <w:t xml:space="preserve"> (</w:t>
      </w:r>
      <w:r>
        <w:rPr>
          <w:rFonts w:ascii="Times New Roman" w:hAnsi="Times New Roman"/>
          <w:b w:val="0"/>
          <w:bCs w:val="0"/>
          <w:szCs w:val="21"/>
          <w:highlight w:val="none"/>
        </w:rPr>
        <w:t>kDPRA</w:t>
      </w:r>
      <w:r>
        <w:rPr>
          <w:rFonts w:hint="eastAsia" w:ascii="Times New Roman" w:hAnsi="Times New Roman"/>
          <w:b w:val="0"/>
          <w:bCs w:val="0"/>
          <w:szCs w:val="21"/>
          <w:highlight w:val="none"/>
        </w:rPr>
        <w:t>)</w:t>
      </w:r>
    </w:p>
    <w:p>
      <w:pPr>
        <w:spacing w:before="156" w:beforeLines="50" w:after="156" w:afterLines="50" w:line="300" w:lineRule="auto"/>
        <w:outlineLvl w:val="2"/>
        <w:rPr>
          <w:rFonts w:ascii="Times New Roman" w:hAnsi="Times New Roman" w:eastAsia="黑体"/>
          <w:szCs w:val="21"/>
          <w:highlight w:val="none"/>
        </w:rPr>
      </w:pPr>
      <w:bookmarkStart w:id="1" w:name="_Toc19077"/>
      <w:r>
        <w:rPr>
          <w:rFonts w:ascii="Times New Roman" w:hAnsi="Times New Roman" w:eastAsia="黑体"/>
          <w:szCs w:val="21"/>
          <w:highlight w:val="none"/>
        </w:rPr>
        <w:t>1 范围</w:t>
      </w:r>
      <w:bookmarkEnd w:id="0"/>
      <w:bookmarkEnd w:id="1"/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本方法规定了动力学直接多肽反应试验的基本</w:t>
      </w:r>
      <w:r>
        <w:rPr>
          <w:rFonts w:hint="eastAsia" w:ascii="Times New Roman" w:hAnsi="Times New Roman" w:cs="Calibri"/>
          <w:szCs w:val="21"/>
          <w:highlight w:val="none"/>
        </w:rPr>
        <w:t>原则、试验</w:t>
      </w:r>
      <w:r>
        <w:rPr>
          <w:rFonts w:ascii="Times New Roman" w:hAnsi="Times New Roman" w:cs="Calibri"/>
          <w:szCs w:val="21"/>
          <w:highlight w:val="none"/>
        </w:rPr>
        <w:t>方法</w:t>
      </w:r>
      <w:r>
        <w:rPr>
          <w:rFonts w:hint="eastAsia" w:ascii="Times New Roman" w:hAnsi="Times New Roman" w:cs="Calibri"/>
          <w:szCs w:val="21"/>
          <w:highlight w:val="none"/>
        </w:rPr>
        <w:t>和技术要求</w:t>
      </w:r>
      <w:r>
        <w:rPr>
          <w:rFonts w:ascii="Times New Roman" w:hAnsi="Times New Roman" w:cs="Calibri"/>
          <w:szCs w:val="21"/>
          <w:highlight w:val="none"/>
        </w:rPr>
        <w:t>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bookmarkStart w:id="2" w:name="OLE_LINK54"/>
      <w:r>
        <w:rPr>
          <w:rFonts w:ascii="Times New Roman" w:hAnsi="Times New Roman" w:cs="Calibri"/>
          <w:szCs w:val="21"/>
          <w:highlight w:val="none"/>
        </w:rPr>
        <w:t>本方法用于化妆品用</w:t>
      </w:r>
      <w:r>
        <w:rPr>
          <w:rFonts w:hint="eastAsia" w:ascii="Times New Roman" w:hAnsi="Times New Roman" w:cs="Calibri"/>
          <w:szCs w:val="21"/>
          <w:highlight w:val="none"/>
        </w:rPr>
        <w:t>化学</w:t>
      </w:r>
      <w:r>
        <w:rPr>
          <w:rFonts w:ascii="Times New Roman" w:hAnsi="Times New Roman" w:cs="Calibri"/>
          <w:szCs w:val="21"/>
          <w:highlight w:val="none"/>
        </w:rPr>
        <w:t>原料的</w:t>
      </w:r>
      <w:r>
        <w:rPr>
          <w:rFonts w:hint="eastAsia" w:ascii="Times New Roman" w:hAnsi="Times New Roman" w:cs="Calibri"/>
          <w:szCs w:val="21"/>
          <w:highlight w:val="none"/>
        </w:rPr>
        <w:t>皮肤致敏性评价</w:t>
      </w:r>
      <w:r>
        <w:rPr>
          <w:rFonts w:ascii="Times New Roman" w:hAnsi="Times New Roman" w:cs="Calibri"/>
          <w:szCs w:val="21"/>
          <w:highlight w:val="none"/>
        </w:rPr>
        <w:t>，适用于单一成分物质、多成分物质和</w:t>
      </w:r>
      <w:r>
        <w:rPr>
          <w:rFonts w:hint="eastAsia" w:ascii="Times New Roman" w:hAnsi="Times New Roman" w:cs="Calibri"/>
          <w:szCs w:val="21"/>
          <w:highlight w:val="none"/>
        </w:rPr>
        <w:t>已知成分及含量的混合物</w:t>
      </w:r>
      <w:r>
        <w:rPr>
          <w:rFonts w:hint="eastAsia" w:ascii="Times New Roman" w:hAnsi="Times New Roman" w:cs="Calibri"/>
          <w:b/>
          <w:bCs/>
          <w:szCs w:val="21"/>
          <w:highlight w:val="none"/>
        </w:rPr>
        <w:t>。</w:t>
      </w:r>
    </w:p>
    <w:bookmarkEnd w:id="2"/>
    <w:p>
      <w:pPr>
        <w:spacing w:before="156" w:beforeLines="50" w:after="156" w:afterLines="50" w:line="300" w:lineRule="auto"/>
        <w:outlineLvl w:val="2"/>
        <w:rPr>
          <w:rFonts w:ascii="Times New Roman" w:hAnsi="Times New Roman" w:eastAsia="黑体" w:cs="Calibri"/>
          <w:szCs w:val="21"/>
          <w:highlight w:val="none"/>
        </w:rPr>
      </w:pPr>
      <w:bookmarkStart w:id="3" w:name="_Toc13914"/>
      <w:bookmarkStart w:id="4" w:name="_Toc31159"/>
      <w:r>
        <w:rPr>
          <w:rFonts w:ascii="Times New Roman" w:hAnsi="Times New Roman" w:eastAsia="黑体" w:cs="Calibri"/>
          <w:szCs w:val="21"/>
          <w:highlight w:val="none"/>
        </w:rPr>
        <w:t>2 试验目的</w:t>
      </w:r>
      <w:bookmarkEnd w:id="3"/>
      <w:bookmarkEnd w:id="4"/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预测和评价化妆品用化学原料是否具有潜在的皮肤致敏性</w:t>
      </w:r>
      <w:r>
        <w:rPr>
          <w:rFonts w:hint="eastAsia" w:ascii="Times New Roman" w:hAnsi="Times New Roman" w:cs="Calibri"/>
          <w:szCs w:val="21"/>
          <w:highlight w:val="none"/>
        </w:rPr>
        <w:t>及其分级。</w:t>
      </w:r>
    </w:p>
    <w:p>
      <w:pPr>
        <w:spacing w:before="156" w:beforeLines="50" w:after="156" w:afterLines="50" w:line="300" w:lineRule="auto"/>
        <w:outlineLvl w:val="2"/>
        <w:rPr>
          <w:rFonts w:ascii="Times New Roman" w:hAnsi="Times New Roman" w:eastAsia="黑体" w:cs="Calibri"/>
          <w:szCs w:val="21"/>
          <w:highlight w:val="none"/>
        </w:rPr>
      </w:pPr>
      <w:bookmarkStart w:id="5" w:name="_Toc29194"/>
      <w:bookmarkStart w:id="6" w:name="_Toc7853"/>
      <w:r>
        <w:rPr>
          <w:rFonts w:ascii="Times New Roman" w:hAnsi="Times New Roman" w:eastAsia="黑体" w:cs="Calibri"/>
          <w:szCs w:val="21"/>
          <w:highlight w:val="none"/>
        </w:rPr>
        <w:t>3 定义</w:t>
      </w:r>
      <w:bookmarkEnd w:id="5"/>
      <w:bookmarkEnd w:id="6"/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3.1 多肽消耗百分比</w:t>
      </w:r>
      <w:r>
        <w:rPr>
          <w:rFonts w:hint="eastAsia" w:ascii="Times New Roman" w:hAnsi="Times New Roman" w:cs="Calibri"/>
          <w:szCs w:val="21"/>
          <w:highlight w:val="none"/>
        </w:rPr>
        <w:t>p</w:t>
      </w:r>
      <w:r>
        <w:rPr>
          <w:rFonts w:ascii="Times New Roman" w:hAnsi="Times New Roman" w:cs="Calibri"/>
          <w:szCs w:val="21"/>
          <w:highlight w:val="none"/>
        </w:rPr>
        <w:t xml:space="preserve">ercent </w:t>
      </w:r>
      <w:r>
        <w:rPr>
          <w:rFonts w:hint="eastAsia" w:ascii="Times New Roman" w:hAnsi="Times New Roman" w:cs="Calibri"/>
          <w:szCs w:val="21"/>
          <w:highlight w:val="none"/>
        </w:rPr>
        <w:t>p</w:t>
      </w:r>
      <w:r>
        <w:rPr>
          <w:rFonts w:ascii="Times New Roman" w:hAnsi="Times New Roman" w:cs="Calibri"/>
          <w:szCs w:val="21"/>
          <w:highlight w:val="none"/>
        </w:rPr>
        <w:t xml:space="preserve">eptide </w:t>
      </w:r>
      <w:r>
        <w:rPr>
          <w:rFonts w:hint="eastAsia" w:ascii="Times New Roman" w:hAnsi="Times New Roman" w:cs="Calibri"/>
          <w:szCs w:val="21"/>
          <w:highlight w:val="none"/>
        </w:rPr>
        <w:t>d</w:t>
      </w:r>
      <w:r>
        <w:rPr>
          <w:rFonts w:ascii="Times New Roman" w:hAnsi="Times New Roman" w:cs="Calibri"/>
          <w:szCs w:val="21"/>
          <w:highlight w:val="none"/>
        </w:rPr>
        <w:t>epletion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与溶剂对照相比，受试物消耗多肽的程度。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 xml:space="preserve">3.2 单一成分物质 </w:t>
      </w:r>
      <w:r>
        <w:rPr>
          <w:rFonts w:hint="eastAsia" w:ascii="Times New Roman" w:hAnsi="Times New Roman" w:cs="Calibri"/>
          <w:szCs w:val="21"/>
          <w:highlight w:val="none"/>
        </w:rPr>
        <w:t>m</w:t>
      </w:r>
      <w:r>
        <w:rPr>
          <w:rFonts w:ascii="Times New Roman" w:hAnsi="Times New Roman" w:cs="Calibri"/>
          <w:szCs w:val="21"/>
          <w:highlight w:val="none"/>
        </w:rPr>
        <w:t>ono-constituent substance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hint="eastAsia" w:ascii="Times New Roman" w:hAnsi="Times New Roman" w:cs="Calibri"/>
          <w:szCs w:val="21"/>
          <w:highlight w:val="none"/>
        </w:rPr>
        <w:t>组成可定量的物质，单一</w:t>
      </w:r>
      <w:r>
        <w:rPr>
          <w:rFonts w:ascii="Times New Roman" w:hAnsi="Times New Roman" w:cs="Calibri"/>
          <w:szCs w:val="21"/>
          <w:highlight w:val="none"/>
        </w:rPr>
        <w:t>主要成分</w:t>
      </w:r>
      <w:r>
        <w:rPr>
          <w:rFonts w:hint="eastAsia" w:ascii="Times New Roman" w:hAnsi="Times New Roman" w:cs="Calibri"/>
          <w:szCs w:val="21"/>
          <w:highlight w:val="none"/>
        </w:rPr>
        <w:t>含量</w:t>
      </w:r>
      <w:r>
        <w:rPr>
          <w:rFonts w:ascii="Times New Roman" w:hAnsi="Times New Roman" w:cs="Calibri"/>
          <w:szCs w:val="21"/>
          <w:highlight w:val="none"/>
        </w:rPr>
        <w:t>至少</w:t>
      </w:r>
      <w:r>
        <w:rPr>
          <w:rFonts w:hint="eastAsia" w:ascii="Times New Roman" w:hAnsi="Times New Roman" w:cs="Calibri"/>
          <w:szCs w:val="21"/>
          <w:highlight w:val="none"/>
        </w:rPr>
        <w:t>为</w:t>
      </w:r>
      <w:r>
        <w:rPr>
          <w:rFonts w:ascii="Times New Roman" w:hAnsi="Times New Roman" w:cs="Calibri"/>
          <w:szCs w:val="21"/>
          <w:highlight w:val="none"/>
        </w:rPr>
        <w:t>80%</w:t>
      </w:r>
      <w:r>
        <w:rPr>
          <w:rFonts w:hint="eastAsia" w:ascii="Times New Roman" w:hAnsi="Times New Roman" w:cs="Calibri"/>
          <w:szCs w:val="21"/>
          <w:highlight w:val="none"/>
        </w:rPr>
        <w:t>（</w:t>
      </w:r>
      <w:r>
        <w:rPr>
          <w:rFonts w:ascii="Times New Roman" w:hAnsi="Times New Roman" w:cs="Calibri"/>
          <w:szCs w:val="21"/>
          <w:highlight w:val="none"/>
        </w:rPr>
        <w:t>w/w</w:t>
      </w:r>
      <w:r>
        <w:rPr>
          <w:rFonts w:hint="eastAsia" w:ascii="Times New Roman" w:hAnsi="Times New Roman" w:cs="Calibri"/>
          <w:szCs w:val="21"/>
          <w:highlight w:val="none"/>
        </w:rPr>
        <w:t>）</w:t>
      </w:r>
      <w:r>
        <w:rPr>
          <w:rFonts w:ascii="Times New Roman" w:hAnsi="Times New Roman" w:cs="Calibri"/>
          <w:szCs w:val="21"/>
          <w:highlight w:val="none"/>
        </w:rPr>
        <w:t>。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3.3 多成分物质</w:t>
      </w:r>
      <w:r>
        <w:rPr>
          <w:rFonts w:hint="eastAsia" w:ascii="Times New Roman" w:hAnsi="Times New Roman" w:cs="Calibri"/>
          <w:szCs w:val="21"/>
          <w:highlight w:val="none"/>
        </w:rPr>
        <w:t>m</w:t>
      </w:r>
      <w:r>
        <w:rPr>
          <w:rFonts w:ascii="Times New Roman" w:hAnsi="Times New Roman" w:cs="Calibri"/>
          <w:szCs w:val="21"/>
          <w:highlight w:val="none"/>
        </w:rPr>
        <w:t>ulti-constituent substance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hint="eastAsia" w:ascii="Times New Roman" w:hAnsi="Times New Roman" w:cs="Calibri"/>
          <w:szCs w:val="21"/>
          <w:highlight w:val="none"/>
        </w:rPr>
        <w:t>组成可定量的物质，其中</w:t>
      </w:r>
      <w:r>
        <w:rPr>
          <w:rFonts w:ascii="Times New Roman" w:hAnsi="Times New Roman" w:cs="Calibri"/>
          <w:szCs w:val="21"/>
          <w:highlight w:val="none"/>
        </w:rPr>
        <w:t>含有两种或两种以上主要成分</w:t>
      </w:r>
      <w:r>
        <w:rPr>
          <w:rFonts w:hint="eastAsia" w:ascii="Times New Roman" w:hAnsi="Times New Roman" w:cs="Calibri"/>
          <w:szCs w:val="21"/>
          <w:highlight w:val="none"/>
        </w:rPr>
        <w:t>，</w:t>
      </w:r>
      <w:r>
        <w:rPr>
          <w:rFonts w:ascii="Times New Roman" w:hAnsi="Times New Roman" w:cs="Calibri"/>
          <w:szCs w:val="21"/>
          <w:highlight w:val="none"/>
        </w:rPr>
        <w:t>每种主要成分的含量</w:t>
      </w:r>
      <w:r>
        <w:rPr>
          <w:rFonts w:hint="eastAsia" w:ascii="宋体" w:hAnsi="宋体" w:cs="宋体"/>
          <w:szCs w:val="21"/>
          <w:highlight w:val="none"/>
        </w:rPr>
        <w:t>≥</w:t>
      </w:r>
      <w:r>
        <w:rPr>
          <w:rFonts w:ascii="Times New Roman" w:hAnsi="Times New Roman" w:cs="Calibri"/>
          <w:szCs w:val="21"/>
          <w:highlight w:val="none"/>
        </w:rPr>
        <w:t>10%</w:t>
      </w:r>
      <w:r>
        <w:rPr>
          <w:rFonts w:hint="eastAsia" w:ascii="Times New Roman" w:hAnsi="Times New Roman" w:cs="Calibri"/>
          <w:szCs w:val="21"/>
          <w:highlight w:val="none"/>
        </w:rPr>
        <w:t>（</w:t>
      </w:r>
      <w:r>
        <w:rPr>
          <w:rFonts w:ascii="Times New Roman" w:hAnsi="Times New Roman" w:cs="Calibri"/>
          <w:szCs w:val="21"/>
          <w:highlight w:val="none"/>
        </w:rPr>
        <w:t>w/w</w:t>
      </w:r>
      <w:r>
        <w:rPr>
          <w:rFonts w:hint="eastAsia" w:ascii="Times New Roman" w:hAnsi="Times New Roman" w:cs="Calibri"/>
          <w:szCs w:val="21"/>
          <w:highlight w:val="none"/>
        </w:rPr>
        <w:t>）</w:t>
      </w:r>
      <w:r>
        <w:rPr>
          <w:rFonts w:ascii="Times New Roman" w:hAnsi="Times New Roman" w:cs="Calibri"/>
          <w:szCs w:val="21"/>
          <w:highlight w:val="none"/>
        </w:rPr>
        <w:t>和&lt;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80%</w:t>
      </w:r>
      <w:r>
        <w:rPr>
          <w:rFonts w:hint="eastAsia" w:ascii="Times New Roman" w:hAnsi="Times New Roman" w:cs="Calibri"/>
          <w:szCs w:val="21"/>
          <w:highlight w:val="none"/>
        </w:rPr>
        <w:t>（</w:t>
      </w:r>
      <w:r>
        <w:rPr>
          <w:rFonts w:ascii="Times New Roman" w:hAnsi="Times New Roman" w:cs="Calibri"/>
          <w:szCs w:val="21"/>
          <w:highlight w:val="none"/>
        </w:rPr>
        <w:t>w/w</w:t>
      </w:r>
      <w:r>
        <w:rPr>
          <w:rFonts w:hint="eastAsia" w:ascii="Times New Roman" w:hAnsi="Times New Roman" w:cs="Calibri"/>
          <w:szCs w:val="21"/>
          <w:highlight w:val="none"/>
        </w:rPr>
        <w:t>）</w:t>
      </w:r>
      <w:r>
        <w:rPr>
          <w:rFonts w:ascii="Times New Roman" w:hAnsi="Times New Roman" w:cs="Calibri"/>
          <w:szCs w:val="21"/>
          <w:highlight w:val="none"/>
        </w:rPr>
        <w:t>。多成分物质是制造过程产生的。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3.4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 xml:space="preserve">混合物 </w:t>
      </w:r>
      <w:r>
        <w:rPr>
          <w:rFonts w:hint="eastAsia" w:ascii="Times New Roman" w:hAnsi="Times New Roman" w:cs="Calibri"/>
          <w:szCs w:val="21"/>
          <w:highlight w:val="none"/>
        </w:rPr>
        <w:t>m</w:t>
      </w:r>
      <w:r>
        <w:rPr>
          <w:rFonts w:ascii="Times New Roman" w:hAnsi="Times New Roman" w:cs="Calibri"/>
          <w:szCs w:val="21"/>
          <w:highlight w:val="none"/>
        </w:rPr>
        <w:t>ixture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由两种或两种以上不发生化学反应的</w:t>
      </w:r>
      <w:r>
        <w:rPr>
          <w:rFonts w:hint="eastAsia" w:ascii="Times New Roman" w:hAnsi="Times New Roman" w:cs="Calibri"/>
          <w:szCs w:val="21"/>
          <w:highlight w:val="none"/>
        </w:rPr>
        <w:t>化学物质</w:t>
      </w:r>
      <w:r>
        <w:rPr>
          <w:rFonts w:ascii="Times New Roman" w:hAnsi="Times New Roman" w:cs="Calibri"/>
          <w:szCs w:val="21"/>
          <w:highlight w:val="none"/>
        </w:rPr>
        <w:t>组成的固体或液体物质。</w:t>
      </w:r>
    </w:p>
    <w:p>
      <w:pPr>
        <w:spacing w:before="156" w:beforeLines="50" w:after="156" w:afterLines="50" w:line="300" w:lineRule="auto"/>
        <w:outlineLvl w:val="2"/>
        <w:rPr>
          <w:rFonts w:ascii="Times New Roman" w:hAnsi="Times New Roman" w:eastAsia="黑体" w:cs="Calibri"/>
          <w:szCs w:val="21"/>
          <w:highlight w:val="none"/>
        </w:rPr>
      </w:pPr>
      <w:bookmarkStart w:id="7" w:name="_Toc4577"/>
      <w:bookmarkStart w:id="8" w:name="_Toc12679"/>
      <w:r>
        <w:rPr>
          <w:rFonts w:ascii="Times New Roman" w:hAnsi="Times New Roman" w:eastAsia="黑体" w:cs="Calibri"/>
          <w:szCs w:val="21"/>
          <w:highlight w:val="none"/>
        </w:rPr>
        <w:t>4 试验原理</w:t>
      </w:r>
      <w:bookmarkEnd w:id="7"/>
      <w:bookmarkEnd w:id="8"/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试验基本原理同直接多肽</w:t>
      </w:r>
      <w:r>
        <w:rPr>
          <w:rFonts w:hint="eastAsia" w:ascii="Times New Roman" w:hAnsi="Times New Roman" w:cs="Calibri"/>
          <w:szCs w:val="21"/>
          <w:highlight w:val="none"/>
        </w:rPr>
        <w:t>反应</w:t>
      </w:r>
      <w:r>
        <w:rPr>
          <w:rFonts w:ascii="Times New Roman" w:hAnsi="Times New Roman" w:cs="Calibri"/>
          <w:szCs w:val="21"/>
          <w:highlight w:val="none"/>
        </w:rPr>
        <w:t>试验</w:t>
      </w:r>
      <w:r>
        <w:rPr>
          <w:rFonts w:hint="eastAsia" w:ascii="Times New Roman" w:hAnsi="Times New Roman" w:cs="Calibri"/>
          <w:szCs w:val="21"/>
          <w:highlight w:val="none"/>
        </w:rPr>
        <w:t>（DPRA）</w:t>
      </w:r>
      <w:r>
        <w:rPr>
          <w:rFonts w:ascii="Times New Roman" w:hAnsi="Times New Roman" w:cs="Calibri"/>
          <w:szCs w:val="21"/>
          <w:highlight w:val="none"/>
        </w:rPr>
        <w:t>，有致敏性的受试物与多肽模拟的皮肤蛋白（本试验仅使用半胱氨酸多肽）共同孵育，导致多肽量减少。不同于DPRA仅测试化学物质一个浓度和一个时间点，kDPRA以时间和浓度依赖的方式量化评价被测物质</w:t>
      </w:r>
      <w:r>
        <w:rPr>
          <w:rFonts w:hint="eastAsia" w:ascii="Times New Roman" w:hAnsi="Times New Roman" w:cs="Calibri"/>
          <w:szCs w:val="21"/>
          <w:highlight w:val="none"/>
        </w:rPr>
        <w:t>的</w:t>
      </w:r>
      <w:r>
        <w:rPr>
          <w:rFonts w:ascii="Times New Roman" w:hAnsi="Times New Roman" w:cs="Calibri"/>
          <w:szCs w:val="21"/>
          <w:highlight w:val="none"/>
        </w:rPr>
        <w:t>多肽结合反应性。被测物质采用5个浓度与半胱氨酸多肽溶液孵育不同时间（6个时间点）后，通过添加单溴二胺（Monobromobimane</w:t>
      </w:r>
      <w:r>
        <w:rPr>
          <w:rFonts w:hint="eastAsia" w:ascii="Times New Roman" w:hAnsi="Times New Roman" w:cs="Calibri"/>
          <w:szCs w:val="21"/>
          <w:highlight w:val="none"/>
        </w:rPr>
        <w:t>，</w:t>
      </w:r>
      <w:r>
        <w:rPr>
          <w:rFonts w:ascii="Times New Roman" w:hAnsi="Times New Roman" w:cs="Calibri"/>
          <w:szCs w:val="21"/>
          <w:highlight w:val="none"/>
        </w:rPr>
        <w:t>mBrB</w:t>
      </w:r>
      <w:r>
        <w:rPr>
          <w:rFonts w:hint="eastAsia" w:ascii="Times New Roman" w:hAnsi="Times New Roman" w:cs="Calibri"/>
          <w:szCs w:val="21"/>
          <w:highlight w:val="none"/>
        </w:rPr>
        <w:t>，CAS 74235-78-2</w:t>
      </w:r>
      <w:r>
        <w:rPr>
          <w:rFonts w:ascii="Times New Roman" w:hAnsi="Times New Roman" w:cs="Calibri"/>
          <w:szCs w:val="21"/>
          <w:highlight w:val="none"/>
        </w:rPr>
        <w:t>）与未结合的半胱氨酸多肽形成荧光复合物，来测量多肽的剩余量。如某时间点未结合多肽</w:t>
      </w:r>
      <w:r>
        <w:rPr>
          <w:rFonts w:hint="eastAsia" w:ascii="Times New Roman" w:hAnsi="Times New Roman" w:cs="Calibri"/>
          <w:szCs w:val="21"/>
          <w:highlight w:val="none"/>
        </w:rPr>
        <w:t>百分比</w:t>
      </w:r>
      <w:r>
        <w:rPr>
          <w:rFonts w:ascii="Times New Roman" w:hAnsi="Times New Roman" w:cs="Calibri"/>
          <w:szCs w:val="21"/>
          <w:highlight w:val="none"/>
        </w:rPr>
        <w:t>的自然对数与受试物浓度呈线性关系（准一级反应），则</w:t>
      </w:r>
      <w:bookmarkStart w:id="9" w:name="OLE_LINK7"/>
      <w:r>
        <w:rPr>
          <w:rFonts w:ascii="Times New Roman" w:hAnsi="Times New Roman" w:cs="Calibri"/>
          <w:szCs w:val="21"/>
          <w:highlight w:val="none"/>
        </w:rPr>
        <w:t>通过斜率绝对值求得反应速率常数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</w:rPr>
        <w:t>，</w:t>
      </w:r>
      <w:bookmarkEnd w:id="9"/>
      <w:r>
        <w:rPr>
          <w:rFonts w:ascii="Times New Roman" w:hAnsi="Times New Roman" w:cs="Calibri"/>
          <w:szCs w:val="21"/>
          <w:highlight w:val="none"/>
        </w:rPr>
        <w:t>换算成对应时间点的反应动力学常数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t</w:t>
      </w:r>
      <w:r>
        <w:rPr>
          <w:rFonts w:ascii="Times New Roman" w:hAnsi="Times New Roman" w:cs="Calibri"/>
          <w:szCs w:val="21"/>
          <w:highlight w:val="none"/>
        </w:rPr>
        <w:t>（单位：M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s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），并计算各时间点lg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t</w:t>
      </w:r>
      <w:r>
        <w:rPr>
          <w:rFonts w:ascii="Times New Roman" w:hAnsi="Times New Roman" w:cs="Calibri"/>
          <w:szCs w:val="21"/>
          <w:highlight w:val="none"/>
        </w:rPr>
        <w:t>，以其中最大值lg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max</w:t>
      </w:r>
      <w:r>
        <w:rPr>
          <w:rFonts w:ascii="Times New Roman" w:hAnsi="Times New Roman" w:cs="Calibri"/>
          <w:szCs w:val="21"/>
          <w:highlight w:val="none"/>
        </w:rPr>
        <w:t>进行结果判断</w:t>
      </w:r>
      <w:r>
        <w:rPr>
          <w:rFonts w:hint="eastAsia" w:ascii="Times New Roman" w:hAnsi="Times New Roman" w:cs="Calibri"/>
          <w:szCs w:val="21"/>
          <w:highlight w:val="none"/>
          <w:lang w:eastAsia="zh-CN"/>
        </w:rPr>
        <w:t>，</w:t>
      </w:r>
      <w:r>
        <w:rPr>
          <w:rFonts w:ascii="Times New Roman" w:hAnsi="Times New Roman" w:cs="Calibri"/>
          <w:szCs w:val="21"/>
          <w:highlight w:val="none"/>
        </w:rPr>
        <w:t>评价受试物的皮肤致敏性。</w:t>
      </w:r>
    </w:p>
    <w:p>
      <w:pPr>
        <w:spacing w:before="156" w:beforeLines="50" w:after="156" w:afterLines="50" w:line="300" w:lineRule="auto"/>
        <w:outlineLvl w:val="2"/>
        <w:rPr>
          <w:rFonts w:ascii="Times New Roman" w:hAnsi="Times New Roman" w:eastAsia="黑体" w:cs="Calibri"/>
          <w:szCs w:val="21"/>
          <w:highlight w:val="none"/>
        </w:rPr>
      </w:pPr>
      <w:bookmarkStart w:id="10" w:name="_Toc2849"/>
      <w:bookmarkStart w:id="11" w:name="_Toc3501"/>
      <w:r>
        <w:rPr>
          <w:rFonts w:ascii="Times New Roman" w:hAnsi="Times New Roman" w:eastAsia="黑体" w:cs="Calibri"/>
          <w:szCs w:val="21"/>
          <w:highlight w:val="none"/>
        </w:rPr>
        <w:t>5 试剂和受试物制备</w:t>
      </w:r>
      <w:bookmarkEnd w:id="10"/>
      <w:bookmarkEnd w:id="11"/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5.1 多肽片段与纯度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半胱氨酸多肽：Ac-RFAACAA-COOH</w:t>
      </w:r>
      <w:r>
        <w:rPr>
          <w:rFonts w:ascii="Times New Roman" w:hAnsi="Times New Roman"/>
          <w:szCs w:val="21"/>
          <w:highlight w:val="none"/>
        </w:rPr>
        <w:t>，分子量：751.35，纯度：</w:t>
      </w:r>
      <w:r>
        <w:rPr>
          <w:rFonts w:hint="eastAsia" w:ascii="Times New Roman" w:hAnsi="Times New Roman" w:cs="Calibri"/>
          <w:szCs w:val="21"/>
          <w:highlight w:val="none"/>
        </w:rPr>
        <w:t>≥</w:t>
      </w:r>
      <w:r>
        <w:rPr>
          <w:rFonts w:ascii="Times New Roman" w:hAnsi="Times New Roman" w:cs="Calibri"/>
          <w:szCs w:val="21"/>
          <w:highlight w:val="none"/>
        </w:rPr>
        <w:t>95%。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5.2 阳性对照物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b/>
          <w:bCs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阳性对照</w:t>
      </w:r>
      <w:r>
        <w:rPr>
          <w:rFonts w:hint="eastAsia" w:ascii="Times New Roman" w:hAnsi="Times New Roman" w:cs="Calibri"/>
          <w:szCs w:val="21"/>
          <w:highlight w:val="none"/>
        </w:rPr>
        <w:t>物常</w:t>
      </w:r>
      <w:r>
        <w:rPr>
          <w:rFonts w:ascii="Times New Roman" w:hAnsi="Times New Roman" w:cs="Calibri"/>
          <w:szCs w:val="21"/>
          <w:highlight w:val="none"/>
        </w:rPr>
        <w:t>用肉桂醛（CAS 104-55-2；纯度</w:t>
      </w:r>
      <w:r>
        <w:rPr>
          <w:rFonts w:hint="eastAsia" w:ascii="Times New Roman" w:hAnsi="Times New Roman" w:cs="Calibri"/>
          <w:szCs w:val="21"/>
          <w:highlight w:val="none"/>
        </w:rPr>
        <w:t>≥</w:t>
      </w:r>
      <w:r>
        <w:rPr>
          <w:rFonts w:ascii="Times New Roman" w:hAnsi="Times New Roman" w:cs="Calibri"/>
          <w:szCs w:val="21"/>
          <w:highlight w:val="none"/>
        </w:rPr>
        <w:t>95%）。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5.3 受试物</w:t>
      </w:r>
    </w:p>
    <w:p>
      <w:pPr>
        <w:spacing w:before="0" w:beforeLines="0" w:after="0" w:afterLines="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5.3.1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溶剂的选择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溶剂首选乙腈，其次是pH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7.5的磷酸盐缓冲液。二甲基亚砜可能导致肽二聚化，应避免使用。</w:t>
      </w:r>
    </w:p>
    <w:p>
      <w:pPr>
        <w:spacing w:before="0" w:beforeLines="0" w:after="0" w:afterLines="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5.3.2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受试物</w:t>
      </w:r>
      <w:r>
        <w:rPr>
          <w:rFonts w:hint="eastAsia" w:ascii="Times New Roman" w:hAnsi="Times New Roman" w:cs="Calibri"/>
          <w:szCs w:val="21"/>
          <w:highlight w:val="none"/>
        </w:rPr>
        <w:t>溶液的</w:t>
      </w:r>
      <w:r>
        <w:rPr>
          <w:rFonts w:ascii="Times New Roman" w:hAnsi="Times New Roman" w:cs="Calibri"/>
          <w:szCs w:val="21"/>
          <w:highlight w:val="none"/>
        </w:rPr>
        <w:t>配制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进行试验前，应评估受试物的溶解度。溶解性可用肉眼鉴别，应形成澄清透明的溶液。一般</w:t>
      </w:r>
      <w:r>
        <w:rPr>
          <w:rFonts w:hint="eastAsia" w:ascii="Times New Roman" w:hAnsi="Times New Roman" w:cs="Calibri"/>
          <w:szCs w:val="21"/>
          <w:highlight w:val="none"/>
        </w:rPr>
        <w:t>受试物</w:t>
      </w:r>
      <w:r>
        <w:rPr>
          <w:rFonts w:ascii="Times New Roman" w:hAnsi="Times New Roman" w:cs="Calibri"/>
          <w:szCs w:val="21"/>
          <w:highlight w:val="none"/>
        </w:rPr>
        <w:t>最大</w:t>
      </w:r>
      <w:r>
        <w:rPr>
          <w:rFonts w:hint="eastAsia" w:ascii="Times New Roman" w:hAnsi="Times New Roman" w:cs="Calibri"/>
          <w:szCs w:val="21"/>
          <w:highlight w:val="none"/>
        </w:rPr>
        <w:t>配制</w:t>
      </w:r>
      <w:r>
        <w:rPr>
          <w:rFonts w:ascii="Times New Roman" w:hAnsi="Times New Roman" w:cs="Calibri"/>
          <w:szCs w:val="21"/>
          <w:highlight w:val="none"/>
        </w:rPr>
        <w:t>浓度为20 mM（应完全溶解）</w:t>
      </w:r>
      <w:r>
        <w:rPr>
          <w:rFonts w:hint="eastAsia" w:ascii="Times New Roman" w:hAnsi="Times New Roman" w:cs="Calibri"/>
          <w:szCs w:val="21"/>
          <w:highlight w:val="none"/>
        </w:rPr>
        <w:t>，对应反应体系终浓度为5 mM。试验时</w:t>
      </w:r>
      <w:r>
        <w:rPr>
          <w:rFonts w:ascii="Times New Roman" w:hAnsi="Times New Roman" w:cs="Calibri"/>
          <w:szCs w:val="21"/>
          <w:highlight w:val="none"/>
        </w:rPr>
        <w:t>用溶剂连续稀释以获得20、10、5、2.5和1.25 mM</w:t>
      </w:r>
      <w:r>
        <w:rPr>
          <w:rFonts w:hint="eastAsia" w:ascii="Times New Roman" w:hAnsi="Times New Roman" w:cs="Calibri"/>
          <w:szCs w:val="21"/>
          <w:highlight w:val="none"/>
        </w:rPr>
        <w:t>系列</w:t>
      </w:r>
      <w:r>
        <w:rPr>
          <w:rFonts w:ascii="Times New Roman" w:hAnsi="Times New Roman" w:cs="Calibri"/>
          <w:szCs w:val="21"/>
          <w:highlight w:val="none"/>
        </w:rPr>
        <w:t>浓度的受试物溶液。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20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mM的受试物</w:t>
      </w:r>
      <w:r>
        <w:rPr>
          <w:rFonts w:hint="eastAsia" w:ascii="Times New Roman" w:hAnsi="Times New Roman" w:cs="Calibri"/>
          <w:szCs w:val="21"/>
          <w:highlight w:val="none"/>
        </w:rPr>
        <w:t>溶液应于试验当日配制</w:t>
      </w:r>
      <w:r>
        <w:rPr>
          <w:rFonts w:ascii="Times New Roman" w:hAnsi="Times New Roman" w:cs="Calibri"/>
          <w:szCs w:val="21"/>
          <w:highlight w:val="none"/>
        </w:rPr>
        <w:t>，</w:t>
      </w:r>
      <w:r>
        <w:rPr>
          <w:rFonts w:hint="eastAsia" w:ascii="Times New Roman" w:hAnsi="Times New Roman" w:cs="Calibri"/>
          <w:szCs w:val="21"/>
          <w:highlight w:val="none"/>
        </w:rPr>
        <w:t>否则应证明储存不影响其稳定性</w:t>
      </w:r>
      <w:r>
        <w:rPr>
          <w:rFonts w:ascii="Times New Roman" w:hAnsi="Times New Roman" w:cs="Calibri"/>
          <w:szCs w:val="21"/>
          <w:highlight w:val="none"/>
        </w:rPr>
        <w:t>。</w:t>
      </w:r>
      <w:r>
        <w:rPr>
          <w:rFonts w:hint="eastAsia" w:ascii="Times New Roman" w:hAnsi="Times New Roman" w:cs="Calibri"/>
          <w:szCs w:val="21"/>
          <w:highlight w:val="none"/>
        </w:rPr>
        <w:t>通常配制量为5 mL，受试物（阳性对照）理论</w:t>
      </w:r>
      <w:r>
        <w:rPr>
          <w:rFonts w:ascii="Times New Roman" w:hAnsi="Times New Roman" w:cs="Calibri"/>
          <w:szCs w:val="21"/>
          <w:highlight w:val="none"/>
        </w:rPr>
        <w:t>称取量</w:t>
      </w:r>
      <w:r>
        <w:rPr>
          <w:rFonts w:hint="eastAsia" w:ascii="Times New Roman" w:hAnsi="Times New Roman" w:cs="Calibri"/>
          <w:szCs w:val="21"/>
          <w:highlight w:val="none"/>
        </w:rPr>
        <w:t>为分子量×0.1 mg（以纯物质计）。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kDPRA在技术上适用于成分和含量明确的多</w:t>
      </w:r>
      <w:r>
        <w:rPr>
          <w:rFonts w:hint="eastAsia" w:ascii="Times New Roman" w:hAnsi="Times New Roman" w:cs="Calibri"/>
          <w:szCs w:val="21"/>
          <w:highlight w:val="none"/>
        </w:rPr>
        <w:t>成</w:t>
      </w:r>
      <w:r>
        <w:rPr>
          <w:rFonts w:ascii="Times New Roman" w:hAnsi="Times New Roman" w:cs="Calibri"/>
          <w:szCs w:val="21"/>
          <w:highlight w:val="none"/>
        </w:rPr>
        <w:t>分物质和混合物的测试，此时，可以根据不同组分（不包括水）的占比和分子量计算受试物总的纯度和</w:t>
      </w:r>
      <w:r>
        <w:rPr>
          <w:rFonts w:hint="eastAsia" w:ascii="Times New Roman" w:hAnsi="Times New Roman" w:cs="Calibri"/>
          <w:szCs w:val="21"/>
          <w:highlight w:val="none"/>
        </w:rPr>
        <w:t>单一的</w:t>
      </w:r>
      <w:r>
        <w:rPr>
          <w:rFonts w:ascii="Times New Roman" w:hAnsi="Times New Roman" w:cs="Calibri"/>
          <w:szCs w:val="21"/>
          <w:highlight w:val="none"/>
        </w:rPr>
        <w:t>表观分子量，用于计算制备20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mM溶液的取样量。</w:t>
      </w:r>
    </w:p>
    <w:p>
      <w:pPr>
        <w:spacing w:before="0" w:beforeLines="0" w:after="0" w:afterLines="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 xml:space="preserve">5.3.3 </w:t>
      </w:r>
      <w:r>
        <w:rPr>
          <w:rFonts w:hint="eastAsia" w:ascii="Times New Roman" w:hAnsi="Times New Roman" w:cs="Calibri"/>
          <w:szCs w:val="21"/>
          <w:highlight w:val="none"/>
        </w:rPr>
        <w:t>阳性对照溶液的配制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bookmarkStart w:id="12" w:name="OLE_LINK55"/>
      <w:r>
        <w:rPr>
          <w:rFonts w:hint="eastAsia" w:ascii="Times New Roman" w:hAnsi="Times New Roman" w:cs="Calibri"/>
          <w:szCs w:val="21"/>
          <w:highlight w:val="none"/>
        </w:rPr>
        <w:t>按受试物溶液的配制方法，</w:t>
      </w:r>
      <w:r>
        <w:rPr>
          <w:rFonts w:ascii="Times New Roman" w:hAnsi="Times New Roman" w:cs="Calibri"/>
          <w:szCs w:val="21"/>
          <w:highlight w:val="none"/>
        </w:rPr>
        <w:t>用乙腈溶解</w:t>
      </w:r>
      <w:r>
        <w:rPr>
          <w:rFonts w:hint="eastAsia" w:ascii="Times New Roman" w:hAnsi="Times New Roman" w:cs="Calibri"/>
          <w:szCs w:val="21"/>
          <w:highlight w:val="none"/>
        </w:rPr>
        <w:t>阳性对照物</w:t>
      </w:r>
      <w:r>
        <w:rPr>
          <w:rFonts w:ascii="Times New Roman" w:hAnsi="Times New Roman" w:cs="Calibri"/>
          <w:szCs w:val="21"/>
          <w:highlight w:val="none"/>
        </w:rPr>
        <w:t>制成</w:t>
      </w:r>
      <w:bookmarkStart w:id="13" w:name="OLE_LINK1"/>
      <w:r>
        <w:rPr>
          <w:rFonts w:ascii="Times New Roman" w:hAnsi="Times New Roman" w:cs="Calibri"/>
          <w:szCs w:val="21"/>
          <w:highlight w:val="none"/>
        </w:rPr>
        <w:t>20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mM</w:t>
      </w:r>
      <w:bookmarkEnd w:id="13"/>
      <w:r>
        <w:rPr>
          <w:rFonts w:ascii="Times New Roman" w:hAnsi="Times New Roman" w:cs="Calibri"/>
          <w:szCs w:val="21"/>
          <w:highlight w:val="none"/>
        </w:rPr>
        <w:t>浓度的溶液</w:t>
      </w:r>
      <w:r>
        <w:rPr>
          <w:rFonts w:hint="eastAsia" w:ascii="Times New Roman" w:hAnsi="Times New Roman" w:cs="Calibri"/>
          <w:szCs w:val="21"/>
          <w:highlight w:val="none"/>
        </w:rPr>
        <w:t>，并稀释得到</w:t>
      </w:r>
      <w:r>
        <w:rPr>
          <w:rFonts w:ascii="Times New Roman" w:hAnsi="Times New Roman" w:cs="Calibri"/>
          <w:szCs w:val="21"/>
          <w:highlight w:val="none"/>
        </w:rPr>
        <w:t>20</w:t>
      </w:r>
      <w:r>
        <w:rPr>
          <w:rFonts w:hint="eastAsia" w:ascii="Times New Roman" w:hAnsi="Times New Roman" w:cs="Calibri"/>
          <w:szCs w:val="21"/>
          <w:highlight w:val="none"/>
        </w:rPr>
        <w:t>、</w:t>
      </w:r>
      <w:r>
        <w:rPr>
          <w:rFonts w:ascii="Times New Roman" w:hAnsi="Times New Roman" w:cs="Calibri"/>
          <w:szCs w:val="21"/>
          <w:highlight w:val="none"/>
        </w:rPr>
        <w:t>10、5、2.5和1.25 mM</w:t>
      </w:r>
      <w:r>
        <w:rPr>
          <w:rFonts w:hint="eastAsia" w:ascii="Times New Roman" w:hAnsi="Times New Roman" w:cs="Calibri"/>
          <w:szCs w:val="21"/>
          <w:highlight w:val="none"/>
        </w:rPr>
        <w:t>系列</w:t>
      </w:r>
      <w:r>
        <w:rPr>
          <w:rFonts w:ascii="Times New Roman" w:hAnsi="Times New Roman" w:cs="Calibri"/>
          <w:szCs w:val="21"/>
          <w:highlight w:val="none"/>
        </w:rPr>
        <w:t>浓度的溶液</w:t>
      </w:r>
      <w:r>
        <w:rPr>
          <w:rFonts w:hint="eastAsia" w:ascii="Times New Roman" w:hAnsi="Times New Roman" w:cs="Calibri"/>
          <w:szCs w:val="21"/>
          <w:highlight w:val="none"/>
        </w:rPr>
        <w:t>。</w:t>
      </w:r>
    </w:p>
    <w:bookmarkEnd w:id="12"/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5</w:t>
      </w:r>
      <w:r>
        <w:rPr>
          <w:rFonts w:hint="eastAsia" w:ascii="Times New Roman" w:hAnsi="Times New Roman" w:cs="Calibri"/>
          <w:szCs w:val="21"/>
          <w:highlight w:val="none"/>
        </w:rPr>
        <w:t>.4</w:t>
      </w:r>
      <w:r>
        <w:rPr>
          <w:rFonts w:ascii="Times New Roman" w:hAnsi="Times New Roman" w:cs="Calibri"/>
          <w:szCs w:val="21"/>
          <w:highlight w:val="none"/>
        </w:rPr>
        <w:t xml:space="preserve"> 多肽贮备液的配制</w:t>
      </w:r>
    </w:p>
    <w:p>
      <w:pPr>
        <w:spacing w:line="380" w:lineRule="exact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称取适量半胱氨酸多肽，用pH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7.5的磷酸盐缓冲液配制成0.667 mM（0.501 mg/mL）的溶液。孵育前新鲜配制，配制时使用涡旋仪震荡溶解，必要时可用超声溶解，应在冰浴中进行，防止多肽降解。</w:t>
      </w:r>
    </w:p>
    <w:p>
      <w:pPr>
        <w:spacing w:line="380" w:lineRule="exact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pH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7.5磷酸盐缓冲液：取0.1 mol/L磷酸二氢钠溶液18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mL</w:t>
      </w:r>
      <w:r>
        <w:rPr>
          <w:rFonts w:hint="eastAsia" w:ascii="Times New Roman" w:hAnsi="Times New Roman" w:cs="Calibri"/>
          <w:szCs w:val="21"/>
          <w:highlight w:val="none"/>
        </w:rPr>
        <w:t>，</w:t>
      </w:r>
      <w:r>
        <w:rPr>
          <w:rFonts w:ascii="Times New Roman" w:hAnsi="Times New Roman" w:cs="Calibri"/>
          <w:szCs w:val="21"/>
          <w:highlight w:val="none"/>
        </w:rPr>
        <w:t>加0.1 mol/L磷酸氢二钠溶液82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mL混合，测定pH值，应在7.50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±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0.05之间。若偏酸性，加入0.1 mol/L磷酸氢二钠溶液进行调节。若偏碱性，加入0.1 mol/L磷酸二氢钠溶液进行调节，4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℃</w:t>
      </w:r>
      <w:r>
        <w:rPr>
          <w:rFonts w:ascii="Times New Roman" w:hAnsi="Times New Roman" w:cs="Calibri"/>
          <w:szCs w:val="21"/>
          <w:highlight w:val="none"/>
        </w:rPr>
        <w:t>保存，可在4周内使用。</w:t>
      </w:r>
    </w:p>
    <w:p>
      <w:pPr>
        <w:spacing w:before="156" w:beforeLines="50" w:after="156" w:afterLines="50" w:line="380" w:lineRule="exact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5.</w:t>
      </w:r>
      <w:r>
        <w:rPr>
          <w:rFonts w:hint="eastAsia" w:ascii="Times New Roman" w:hAnsi="Times New Roman" w:cs="Calibri"/>
          <w:szCs w:val="21"/>
          <w:highlight w:val="none"/>
        </w:rPr>
        <w:t>5</w:t>
      </w:r>
      <w:r>
        <w:rPr>
          <w:rFonts w:ascii="Times New Roman" w:hAnsi="Times New Roman" w:cs="Calibri"/>
          <w:szCs w:val="21"/>
          <w:highlight w:val="none"/>
        </w:rPr>
        <w:t xml:space="preserve"> </w:t>
      </w:r>
      <w:bookmarkStart w:id="14" w:name="OLE_LINK16"/>
      <w:r>
        <w:rPr>
          <w:rFonts w:ascii="Times New Roman" w:hAnsi="Times New Roman" w:cs="Calibri"/>
          <w:szCs w:val="21"/>
          <w:highlight w:val="none"/>
        </w:rPr>
        <w:t>单溴二胺</w:t>
      </w:r>
      <w:bookmarkEnd w:id="14"/>
      <w:r>
        <w:rPr>
          <w:rFonts w:ascii="Times New Roman" w:hAnsi="Times New Roman" w:cs="Calibri"/>
          <w:szCs w:val="21"/>
          <w:highlight w:val="none"/>
        </w:rPr>
        <w:t>溶液的配制</w:t>
      </w:r>
    </w:p>
    <w:p>
      <w:pPr>
        <w:spacing w:line="380" w:lineRule="exact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称取8.1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mg单溴二胺置于10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mL容量瓶中，用乙腈定容至刻度，制成3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mM单溴二胺溶液。现用现配，避光保存。</w:t>
      </w:r>
    </w:p>
    <w:p>
      <w:pPr>
        <w:spacing w:before="156" w:beforeLines="50" w:after="156" w:afterLines="50" w:line="380" w:lineRule="exact"/>
        <w:outlineLvl w:val="2"/>
        <w:rPr>
          <w:rFonts w:ascii="Times New Roman" w:hAnsi="Times New Roman" w:eastAsia="黑体" w:cs="Calibri"/>
          <w:szCs w:val="21"/>
          <w:highlight w:val="none"/>
        </w:rPr>
      </w:pPr>
      <w:bookmarkStart w:id="15" w:name="_Toc9209"/>
      <w:bookmarkStart w:id="16" w:name="_Toc16854"/>
      <w:r>
        <w:rPr>
          <w:rFonts w:ascii="Times New Roman" w:hAnsi="Times New Roman" w:eastAsia="黑体" w:cs="Calibri"/>
          <w:szCs w:val="21"/>
          <w:highlight w:val="none"/>
        </w:rPr>
        <w:t xml:space="preserve">6 </w:t>
      </w:r>
      <w:bookmarkEnd w:id="15"/>
      <w:r>
        <w:rPr>
          <w:rFonts w:ascii="Times New Roman" w:hAnsi="Times New Roman" w:eastAsia="黑体" w:cs="Calibri"/>
          <w:szCs w:val="21"/>
          <w:highlight w:val="none"/>
        </w:rPr>
        <w:t>试验步骤</w:t>
      </w:r>
      <w:bookmarkEnd w:id="16"/>
    </w:p>
    <w:p>
      <w:pPr>
        <w:spacing w:before="156" w:beforeLines="50" w:after="156" w:afterLines="50" w:line="380" w:lineRule="exact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6.1 试验设计</w:t>
      </w:r>
    </w:p>
    <w:p>
      <w:pPr>
        <w:spacing w:line="380" w:lineRule="exact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试验设置受试物组（</w:t>
      </w:r>
      <w:r>
        <w:rPr>
          <w:rFonts w:hint="eastAsia" w:ascii="Times New Roman" w:hAnsi="Times New Roman" w:cs="Calibri"/>
          <w:szCs w:val="21"/>
          <w:highlight w:val="none"/>
        </w:rPr>
        <w:t>终</w:t>
      </w:r>
      <w:r>
        <w:rPr>
          <w:rFonts w:ascii="Times New Roman" w:hAnsi="Times New Roman" w:cs="Calibri"/>
          <w:szCs w:val="21"/>
          <w:highlight w:val="none"/>
        </w:rPr>
        <w:t>浓度为0.31 mM、0.63 mM、1.25 mM、2.5 mM、5 mM）、阳性对照组（positive control</w:t>
      </w:r>
      <w:r>
        <w:rPr>
          <w:rFonts w:hint="eastAsia" w:ascii="Times New Roman" w:hAnsi="Times New Roman" w:cs="Calibri"/>
          <w:szCs w:val="21"/>
          <w:highlight w:val="none"/>
        </w:rPr>
        <w:t>，</w:t>
      </w:r>
      <w:r>
        <w:rPr>
          <w:rFonts w:ascii="Times New Roman" w:hAnsi="Times New Roman" w:cs="Calibri"/>
          <w:szCs w:val="21"/>
          <w:highlight w:val="none"/>
        </w:rPr>
        <w:t>PC）、受试物对照组（</w:t>
      </w:r>
      <w:r>
        <w:rPr>
          <w:rFonts w:hint="eastAsia" w:ascii="Times New Roman" w:hAnsi="Times New Roman" w:cs="Calibri"/>
          <w:szCs w:val="21"/>
          <w:highlight w:val="none"/>
        </w:rPr>
        <w:t>substance</w:t>
      </w:r>
      <w:r>
        <w:rPr>
          <w:rFonts w:hint="eastAsia" w:ascii="Times New Roman" w:hAnsi="Times New Roman" w:cs="Calibri"/>
          <w:b/>
          <w:bCs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control</w:t>
      </w:r>
      <w:r>
        <w:rPr>
          <w:rFonts w:hint="eastAsia" w:ascii="Times New Roman" w:hAnsi="Times New Roman" w:cs="Calibri"/>
          <w:szCs w:val="21"/>
          <w:highlight w:val="none"/>
        </w:rPr>
        <w:t>，</w:t>
      </w:r>
      <w:r>
        <w:rPr>
          <w:rFonts w:ascii="Times New Roman" w:hAnsi="Times New Roman" w:cs="Calibri"/>
          <w:szCs w:val="21"/>
          <w:highlight w:val="none"/>
        </w:rPr>
        <w:t>SC）、溶剂对照组（vehicle control</w:t>
      </w:r>
      <w:r>
        <w:rPr>
          <w:rFonts w:hint="eastAsia" w:ascii="Times New Roman" w:hAnsi="Times New Roman" w:cs="Calibri"/>
          <w:szCs w:val="21"/>
          <w:highlight w:val="none"/>
        </w:rPr>
        <w:t>，</w:t>
      </w:r>
      <w:r>
        <w:rPr>
          <w:rFonts w:ascii="Times New Roman" w:hAnsi="Times New Roman" w:cs="Calibri"/>
          <w:szCs w:val="21"/>
          <w:highlight w:val="none"/>
        </w:rPr>
        <w:t>VC）和空白对照组（blank control</w:t>
      </w:r>
      <w:r>
        <w:rPr>
          <w:rFonts w:hint="eastAsia" w:ascii="Times New Roman" w:hAnsi="Times New Roman" w:cs="Calibri"/>
          <w:szCs w:val="21"/>
          <w:highlight w:val="none"/>
        </w:rPr>
        <w:t>，</w:t>
      </w:r>
      <w:r>
        <w:rPr>
          <w:rFonts w:ascii="Times New Roman" w:hAnsi="Times New Roman" w:cs="Calibri"/>
          <w:szCs w:val="21"/>
          <w:highlight w:val="none"/>
        </w:rPr>
        <w:t>BC），其中受试物组每个浓度3个重复，VC组、BC组12个重复，PC和SC每个浓度一个孔</w:t>
      </w:r>
      <w:r>
        <w:rPr>
          <w:rFonts w:hint="eastAsia" w:ascii="Times New Roman" w:hAnsi="Times New Roman" w:cs="Calibri"/>
          <w:szCs w:val="21"/>
          <w:highlight w:val="none"/>
        </w:rPr>
        <w:t>。</w:t>
      </w:r>
      <w:r>
        <w:rPr>
          <w:rFonts w:ascii="Times New Roman" w:hAnsi="Times New Roman" w:cs="Calibri"/>
          <w:szCs w:val="21"/>
          <w:highlight w:val="none"/>
        </w:rPr>
        <w:t>以3个受试物（A、B、C）为例</w:t>
      </w:r>
      <w:r>
        <w:rPr>
          <w:rFonts w:hint="eastAsia" w:ascii="Times New Roman" w:hAnsi="Times New Roman" w:cs="Calibri"/>
          <w:szCs w:val="21"/>
          <w:highlight w:val="none"/>
        </w:rPr>
        <w:t>加样示例参见</w:t>
      </w:r>
      <w:r>
        <w:rPr>
          <w:rFonts w:ascii="Times New Roman" w:hAnsi="Times New Roman" w:cs="Calibri"/>
          <w:szCs w:val="21"/>
          <w:highlight w:val="none"/>
        </w:rPr>
        <w:t>图1。</w:t>
      </w:r>
    </w:p>
    <w:tbl>
      <w:tblPr>
        <w:tblStyle w:val="8"/>
        <w:tblpPr w:leftFromText="180" w:rightFromText="180" w:vertAnchor="text" w:horzAnchor="page" w:tblpX="1544" w:tblpY="166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717"/>
        <w:gridCol w:w="122"/>
        <w:gridCol w:w="671"/>
        <w:gridCol w:w="109"/>
        <w:gridCol w:w="763"/>
        <w:gridCol w:w="721"/>
        <w:gridCol w:w="92"/>
        <w:gridCol w:w="687"/>
        <w:gridCol w:w="86"/>
        <w:gridCol w:w="592"/>
        <w:gridCol w:w="685"/>
        <w:gridCol w:w="702"/>
        <w:gridCol w:w="685"/>
        <w:gridCol w:w="703"/>
        <w:gridCol w:w="70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7" w:type="dxa"/>
            <w:shd w:val="clear" w:color="auto" w:fill="FFFFFF"/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93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872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2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79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8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68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27" w:type="dxa"/>
            <w:shd w:val="clear" w:color="auto" w:fill="FFFFFF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A</w:t>
            </w:r>
          </w:p>
        </w:tc>
        <w:tc>
          <w:tcPr>
            <w:tcW w:w="8746" w:type="dxa"/>
            <w:gridSpan w:val="16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VC组</w:t>
            </w:r>
            <w:r>
              <w:rPr>
                <w:rFonts w:hint="eastAsia" w:ascii="Times New Roman" w:hAnsi="Times New Roman" w:cs="Calibri"/>
                <w:sz w:val="18"/>
                <w:szCs w:val="18"/>
                <w:highlight w:val="none"/>
              </w:rPr>
              <w:t>（溶剂+0.5 mM多肽）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27" w:type="dxa"/>
            <w:shd w:val="clear" w:color="auto" w:fill="FFFFFF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B</w:t>
            </w:r>
          </w:p>
        </w:tc>
        <w:tc>
          <w:tcPr>
            <w:tcW w:w="8746" w:type="dxa"/>
            <w:gridSpan w:val="16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BC组</w:t>
            </w:r>
            <w:r>
              <w:rPr>
                <w:rFonts w:hint="eastAsia" w:ascii="Times New Roman" w:hAnsi="Times New Roman" w:cs="Calibri"/>
                <w:sz w:val="18"/>
                <w:szCs w:val="18"/>
                <w:highlight w:val="none"/>
              </w:rPr>
              <w:t>（溶剂）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27" w:type="dxa"/>
            <w:shd w:val="clear" w:color="auto" w:fill="FFFFFF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C</w:t>
            </w:r>
          </w:p>
        </w:tc>
        <w:tc>
          <w:tcPr>
            <w:tcW w:w="2382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0.31 mM受试物A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2178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0.31 mM受试物B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2072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0.31 mM受试物C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</w:t>
            </w:r>
            <w:bookmarkStart w:id="17" w:name="OLE_LINK57"/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0.5 mM多肽</w:t>
            </w:r>
            <w:bookmarkEnd w:id="17"/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0.31 mM受试物A+缓冲液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0.31 mM受试物B+缓冲液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0.31 mM受试物C+缓冲液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7" w:type="dxa"/>
            <w:shd w:val="clear" w:color="auto" w:fill="FFFFFF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D</w:t>
            </w:r>
          </w:p>
        </w:tc>
        <w:tc>
          <w:tcPr>
            <w:tcW w:w="2382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0.63 mM受试物A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2178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0.63 mM受试物B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2072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0.63 mM受试物C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0.63 mM受试物A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0.63 mM受试物B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0.63 mM受试物C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27" w:type="dxa"/>
            <w:shd w:val="clear" w:color="auto" w:fill="FFFFFF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E</w:t>
            </w:r>
          </w:p>
        </w:tc>
        <w:tc>
          <w:tcPr>
            <w:tcW w:w="2382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1.25 mM受试物A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2178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1.25 mM受试物B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2072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1.25 mM受试物C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1.25 mM受试物A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1.25 mM受试物B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1.25 mM受试物C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7" w:type="dxa"/>
            <w:shd w:val="clear" w:color="auto" w:fill="FFFFFF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F</w:t>
            </w:r>
          </w:p>
        </w:tc>
        <w:tc>
          <w:tcPr>
            <w:tcW w:w="2382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2.5 mM受试物A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2178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2.5 mM受试物B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2072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2.5 mM受试物C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2.5 mM受试物A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2.5 mM受试物B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bookmarkStart w:id="18" w:name="OLE_LINK53"/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  <w:bookmarkEnd w:id="18"/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2.5 mM受试物C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27" w:type="dxa"/>
            <w:shd w:val="clear" w:color="auto" w:fill="FFFFFF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G</w:t>
            </w:r>
          </w:p>
        </w:tc>
        <w:tc>
          <w:tcPr>
            <w:tcW w:w="2382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5 mM受试物A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2178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5 mM受试物B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2072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5 mM受试物C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 xml:space="preserve">5 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mM受试物A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 xml:space="preserve">5 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mM受试物B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 xml:space="preserve">5 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mM受试物C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+缓冲液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dxa"/>
            <w:shd w:val="clear" w:color="auto" w:fill="FFFFFF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83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0.31 mM  PC+0.5 mM多肽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0.63 mM  PC+0.5 mM多肽</w:t>
            </w:r>
          </w:p>
        </w:tc>
        <w:tc>
          <w:tcPr>
            <w:tcW w:w="76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1.25 mM  PC+0.5 mM多肽</w:t>
            </w:r>
          </w:p>
        </w:tc>
        <w:tc>
          <w:tcPr>
            <w:tcW w:w="81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 xml:space="preserve">2.5 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mM  PC+0.5 mM多肽</w:t>
            </w:r>
          </w:p>
        </w:tc>
        <w:tc>
          <w:tcPr>
            <w:tcW w:w="77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 xml:space="preserve">5 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 xml:space="preserve">mM  </w:t>
            </w:r>
            <w:bookmarkStart w:id="19" w:name="OLE_LINK5"/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PC</w:t>
            </w:r>
            <w:bookmarkEnd w:id="19"/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+0.5 mM多肽</w:t>
            </w:r>
          </w:p>
        </w:tc>
        <w:tc>
          <w:tcPr>
            <w:tcW w:w="592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1.25 mM PC+缓冲液</w:t>
            </w:r>
          </w:p>
        </w:tc>
        <w:tc>
          <w:tcPr>
            <w:tcW w:w="685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 xml:space="preserve">2.5 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 xml:space="preserve">mM 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PC+缓冲液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 xml:space="preserve">5 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mM PC+缓冲液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10 mM PC+缓冲液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cs="Calibri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Calibri"/>
                <w:sz w:val="18"/>
                <w:szCs w:val="18"/>
                <w:highlight w:val="none"/>
              </w:rPr>
              <w:t>20 mM PC+缓冲液</w:t>
            </w:r>
          </w:p>
        </w:tc>
      </w:tr>
    </w:tbl>
    <w:p>
      <w:pPr>
        <w:spacing w:before="156" w:beforeLines="50" w:after="156" w:afterLines="50" w:line="300" w:lineRule="auto"/>
        <w:ind w:firstLine="495" w:firstLineChars="236"/>
        <w:jc w:val="center"/>
        <w:rPr>
          <w:rFonts w:ascii="黑体" w:hAnsi="黑体" w:eastAsia="黑体" w:cs="Calibri"/>
          <w:szCs w:val="21"/>
          <w:highlight w:val="none"/>
        </w:rPr>
      </w:pPr>
      <w:r>
        <w:rPr>
          <w:rFonts w:ascii="黑体" w:hAnsi="黑体" w:eastAsia="黑体" w:cs="Calibri"/>
          <w:szCs w:val="21"/>
          <w:highlight w:val="none"/>
        </w:rPr>
        <w:t>图</w:t>
      </w:r>
      <w:r>
        <w:rPr>
          <w:rFonts w:ascii="Times New Roman" w:hAnsi="Times New Roman" w:eastAsia="黑体" w:cs="Calibri"/>
          <w:szCs w:val="21"/>
          <w:highlight w:val="none"/>
        </w:rPr>
        <w:t>1</w:t>
      </w:r>
      <w:r>
        <w:rPr>
          <w:rFonts w:hint="eastAsia" w:ascii="Times New Roman" w:hAnsi="Times New Roman" w:eastAsia="黑体" w:cs="Calibri"/>
          <w:szCs w:val="21"/>
          <w:highlight w:val="none"/>
        </w:rPr>
        <w:t xml:space="preserve">  </w:t>
      </w:r>
      <w:r>
        <w:rPr>
          <w:rFonts w:ascii="Times New Roman" w:hAnsi="Times New Roman" w:eastAsia="黑体" w:cs="Calibri"/>
          <w:szCs w:val="21"/>
          <w:highlight w:val="none"/>
        </w:rPr>
        <w:t>kDPRA</w:t>
      </w:r>
      <w:r>
        <w:rPr>
          <w:rFonts w:ascii="黑体" w:hAnsi="黑体" w:eastAsia="黑体" w:cs="Calibri"/>
          <w:szCs w:val="21"/>
          <w:highlight w:val="none"/>
        </w:rPr>
        <w:t>反应板加样示例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6.2 操作步骤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每个反应时间分别准备应用板（受试物溶液稀释板）和反应板。应先准备反应板，随后立即准备含有受试物稀释液的应用板，并将各组受试物溶液立即加入到反应板中。</w:t>
      </w:r>
    </w:p>
    <w:p>
      <w:pPr>
        <w:spacing w:before="0" w:beforeLines="0" w:after="0" w:afterLines="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6.2.1 反应板的准备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hint="eastAsia" w:ascii="Times New Roman" w:hAnsi="Times New Roman" w:cs="Calibri"/>
          <w:szCs w:val="21"/>
          <w:highlight w:val="none"/>
        </w:rPr>
        <w:t>使用</w:t>
      </w:r>
      <w:r>
        <w:rPr>
          <w:rFonts w:ascii="Times New Roman" w:hAnsi="Times New Roman" w:cs="Calibri"/>
          <w:szCs w:val="21"/>
          <w:highlight w:val="none"/>
        </w:rPr>
        <w:t>黑色96孔板，参照图1准备各时间点的反应板。分别在A1~A12、C1-H1~C5-H5、C6~G6、</w:t>
      </w:r>
      <w:bookmarkStart w:id="20" w:name="OLE_LINK56"/>
      <w:r>
        <w:rPr>
          <w:rFonts w:ascii="Times New Roman" w:hAnsi="Times New Roman" w:cs="Calibri"/>
          <w:szCs w:val="21"/>
          <w:highlight w:val="none"/>
        </w:rPr>
        <w:t>C7-G7</w:t>
      </w:r>
      <w:bookmarkEnd w:id="20"/>
      <w:r>
        <w:rPr>
          <w:rFonts w:ascii="Times New Roman" w:hAnsi="Times New Roman" w:cs="Calibri"/>
          <w:szCs w:val="21"/>
          <w:highlight w:val="none"/>
        </w:rPr>
        <w:t>~C9-G9孔中加入120 μL 0.667 mM多肽溶液，在B1~B12、C10-G10~C12-G12、H8~H12孔中加入120 μL pH7.5的磷酸盐缓冲液。</w:t>
      </w:r>
    </w:p>
    <w:p>
      <w:pPr>
        <w:spacing w:before="0" w:beforeLines="0" w:after="0" w:afterLines="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6.2.2 应用板的准备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准备2 mL深孔板，参照图2准备各时间点的应用板。分别在A行、B行、C行~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F行中每孔分别加入300 μL溶剂，将600 μL 20 mM受试物储存液加入G行。使用多通道移液器从G行吸取300 μL，加入F行，随后按同样方法依次稀释至C行。在H1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~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H4每孔中每孔分别加入600 μL溶剂，将1200 μL 20 mM阳性对照物储存液加入H5孔。使用移液器从H5孔吸取600 μL，加入H4行，按同样方法依次稀释至H1。从H1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~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H5中吸取300 μL溶液转移到H8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~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H12孔。配制完成后及时用封板膜密封待用。</w:t>
      </w:r>
    </w:p>
    <w:tbl>
      <w:tblPr>
        <w:tblStyle w:val="8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714"/>
        <w:gridCol w:w="13"/>
        <w:gridCol w:w="701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22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2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22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2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mM受试物A</w:t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 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 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 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 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 受试物B</w:t>
            </w: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 受试物C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22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D</w:t>
            </w:r>
          </w:p>
        </w:tc>
        <w:tc>
          <w:tcPr>
            <w:tcW w:w="727" w:type="dxa"/>
            <w:gridSpan w:val="2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受试物A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受试物B</w:t>
            </w: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22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E</w:t>
            </w:r>
          </w:p>
        </w:tc>
        <w:tc>
          <w:tcPr>
            <w:tcW w:w="727" w:type="dxa"/>
            <w:gridSpan w:val="2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受试物A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受试物B</w:t>
            </w: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22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F</w:t>
            </w:r>
          </w:p>
        </w:tc>
        <w:tc>
          <w:tcPr>
            <w:tcW w:w="727" w:type="dxa"/>
            <w:gridSpan w:val="2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受试物A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 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 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 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 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 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 受试物B</w:t>
            </w: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 mM 受试物C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22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G</w:t>
            </w:r>
          </w:p>
        </w:tc>
        <w:tc>
          <w:tcPr>
            <w:tcW w:w="727" w:type="dxa"/>
            <w:gridSpan w:val="2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受试物A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受试物B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受试物A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受试物B</w:t>
            </w: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受试物C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322" w:type="dxa"/>
            <w:shd w:val="clear" w:color="auto" w:fill="FFFFFF"/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27" w:type="dxa"/>
            <w:gridSpan w:val="2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　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PC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PC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PC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1.25 mM PC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PC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PC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PC</w:t>
            </w: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20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mM PC</w:t>
            </w:r>
          </w:p>
        </w:tc>
      </w:tr>
    </w:tbl>
    <w:p>
      <w:pPr>
        <w:spacing w:before="156" w:beforeLines="50" w:after="156" w:afterLines="50" w:line="300" w:lineRule="auto"/>
        <w:ind w:firstLine="495" w:firstLineChars="236"/>
        <w:jc w:val="center"/>
        <w:rPr>
          <w:rFonts w:ascii="黑体" w:hAnsi="黑体" w:eastAsia="黑体" w:cs="Calibri"/>
          <w:szCs w:val="21"/>
          <w:highlight w:val="none"/>
        </w:rPr>
      </w:pPr>
      <w:r>
        <w:rPr>
          <w:rFonts w:ascii="黑体" w:hAnsi="黑体" w:eastAsia="黑体" w:cs="Calibri"/>
          <w:szCs w:val="21"/>
          <w:highlight w:val="none"/>
        </w:rPr>
        <w:t>图</w:t>
      </w:r>
      <w:r>
        <w:rPr>
          <w:rFonts w:ascii="Times New Roman" w:hAnsi="Times New Roman" w:eastAsia="黑体" w:cs="Calibri"/>
          <w:szCs w:val="21"/>
          <w:highlight w:val="none"/>
        </w:rPr>
        <w:t>2</w:t>
      </w:r>
      <w:r>
        <w:rPr>
          <w:rFonts w:ascii="黑体" w:hAnsi="黑体" w:eastAsia="黑体" w:cs="Calibri"/>
          <w:szCs w:val="21"/>
          <w:highlight w:val="none"/>
        </w:rPr>
        <w:t xml:space="preserve"> 应用板加样示例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6.3 孵育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使用多通道移液器从应用板中吸取40 μL配制好的溶液加入反应板对应孔中，用封板膜将反应板密封，200 rpm震摇5 min后，25 ℃分别孵育10 min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±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30 s、30 min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±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3 min、90 min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±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5 min、150 min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±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10 min、210 min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±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10 min、1440 min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±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15 min。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6.4 测定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孵育结束后，撕下封板膜，每孔加入新鲜配制的3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mM单溴二胺溶液40 μL。200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~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300 rpm震摇5 min后，用酶标仪在激发波长390 nm，发射波长480 nm下检测荧光强度。</w:t>
      </w:r>
    </w:p>
    <w:p>
      <w:pPr>
        <w:spacing w:before="156" w:beforeLines="50" w:after="156" w:afterLines="50" w:line="300" w:lineRule="auto"/>
        <w:outlineLvl w:val="2"/>
        <w:rPr>
          <w:rFonts w:ascii="Times New Roman" w:hAnsi="Times New Roman" w:cs="Calibri"/>
          <w:b/>
          <w:bCs/>
          <w:sz w:val="32"/>
          <w:szCs w:val="32"/>
          <w:highlight w:val="none"/>
        </w:rPr>
      </w:pPr>
      <w:bookmarkStart w:id="21" w:name="_Toc28702"/>
      <w:r>
        <w:rPr>
          <w:rFonts w:ascii="Times New Roman" w:hAnsi="Times New Roman" w:eastAsia="黑体" w:cs="Calibri"/>
          <w:szCs w:val="21"/>
          <w:highlight w:val="none"/>
        </w:rPr>
        <w:t>7 数据处理</w:t>
      </w:r>
      <w:bookmarkEnd w:id="21"/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7.1</w:t>
      </w:r>
      <w:r>
        <w:rPr>
          <w:rFonts w:hint="eastAsia" w:ascii="Times New Roman" w:hAnsi="Times New Roman" w:cs="Calibri"/>
          <w:szCs w:val="21"/>
          <w:highlight w:val="none"/>
        </w:rPr>
        <w:t xml:space="preserve"> 荧光值计算和校正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计算BC组、VC组的平均荧光强度和标准差</w:t>
      </w:r>
      <w:r>
        <w:rPr>
          <w:rFonts w:hint="eastAsia" w:ascii="Times New Roman" w:hAnsi="Times New Roman" w:cs="Calibri"/>
          <w:szCs w:val="21"/>
          <w:highlight w:val="none"/>
        </w:rPr>
        <w:t>，</w:t>
      </w:r>
      <w:r>
        <w:rPr>
          <w:rFonts w:ascii="Times New Roman" w:hAnsi="Times New Roman" w:cs="Calibri"/>
          <w:szCs w:val="21"/>
          <w:highlight w:val="none"/>
        </w:rPr>
        <w:t>VC孔减去BC组的平均荧光强度值，各浓度受试物和阳性对照孔减去各自的对照组的荧光强度值。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计算每个测试浓度三个重复孔的平均荧光强度和标准差</w:t>
      </w:r>
      <w:r>
        <w:rPr>
          <w:rFonts w:hint="eastAsia" w:ascii="Times New Roman" w:hAnsi="Times New Roman" w:cs="Calibri"/>
          <w:szCs w:val="21"/>
          <w:highlight w:val="none"/>
        </w:rPr>
        <w:t>，</w:t>
      </w:r>
      <w:r>
        <w:rPr>
          <w:rFonts w:ascii="Times New Roman" w:hAnsi="Times New Roman" w:cs="Calibri"/>
          <w:szCs w:val="21"/>
          <w:highlight w:val="none"/>
        </w:rPr>
        <w:t>采用</w:t>
      </w:r>
      <w:r>
        <w:rPr>
          <w:rFonts w:hint="eastAsia" w:ascii="Times New Roman" w:hAnsi="Times New Roman" w:cs="Calibri"/>
          <w:i/>
          <w:iCs/>
          <w:szCs w:val="21"/>
          <w:highlight w:val="none"/>
        </w:rPr>
        <w:t>t</w:t>
      </w:r>
      <w:r>
        <w:rPr>
          <w:rFonts w:ascii="Times New Roman" w:hAnsi="Times New Roman" w:cs="Calibri"/>
          <w:szCs w:val="21"/>
          <w:highlight w:val="none"/>
        </w:rPr>
        <w:t>检验统计与VC</w:t>
      </w:r>
      <w:r>
        <w:rPr>
          <w:rFonts w:hint="eastAsia" w:ascii="Times New Roman" w:hAnsi="Times New Roman" w:cs="Calibri"/>
          <w:szCs w:val="21"/>
          <w:highlight w:val="none"/>
        </w:rPr>
        <w:t>组</w:t>
      </w:r>
      <w:r>
        <w:rPr>
          <w:rFonts w:ascii="Times New Roman" w:hAnsi="Times New Roman" w:cs="Calibri"/>
          <w:szCs w:val="21"/>
          <w:highlight w:val="none"/>
        </w:rPr>
        <w:t>（12个重复）的平均多肽浓度是否有显著性差异。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7.</w:t>
      </w:r>
      <w:r>
        <w:rPr>
          <w:rFonts w:hint="eastAsia" w:ascii="Times New Roman" w:hAnsi="Times New Roman" w:cs="Calibri"/>
          <w:szCs w:val="21"/>
          <w:highlight w:val="none"/>
        </w:rPr>
        <w:t xml:space="preserve">2 </w:t>
      </w:r>
      <w:r>
        <w:rPr>
          <w:rFonts w:ascii="Times New Roman" w:hAnsi="Times New Roman" w:cs="Calibri"/>
          <w:szCs w:val="21"/>
          <w:highlight w:val="none"/>
        </w:rPr>
        <w:t>多肽消耗率计算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hint="eastAsia" w:ascii="Times New Roman" w:hAnsi="Times New Roman" w:cs="Calibri"/>
          <w:szCs w:val="21"/>
          <w:highlight w:val="none"/>
        </w:rPr>
        <w:t>按以下</w:t>
      </w:r>
      <w:r>
        <w:rPr>
          <w:rFonts w:ascii="Times New Roman" w:hAnsi="Times New Roman" w:cs="Calibri"/>
          <w:szCs w:val="21"/>
          <w:highlight w:val="none"/>
        </w:rPr>
        <w:t>公式</w:t>
      </w:r>
      <w:r>
        <w:rPr>
          <w:rFonts w:hint="eastAsia" w:ascii="Times New Roman" w:hAnsi="Times New Roman" w:cs="Calibri"/>
          <w:szCs w:val="21"/>
          <w:highlight w:val="none"/>
        </w:rPr>
        <w:t>计算多肽消除率</w:t>
      </w:r>
      <w:r>
        <w:rPr>
          <w:rFonts w:ascii="Times New Roman" w:hAnsi="Times New Roman" w:cs="Calibri"/>
          <w:szCs w:val="21"/>
          <w:highlight w:val="none"/>
        </w:rPr>
        <w:t>：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多肽消耗率（%）=</w:t>
      </w:r>
      <w:r>
        <w:rPr>
          <w:rFonts w:hint="eastAsia" w:ascii="Times New Roman" w:hAnsi="Times New Roman" w:cs="Calibri"/>
          <w:szCs w:val="21"/>
          <w:highlight w:val="none"/>
        </w:rPr>
        <w:t>[1-</w:t>
      </w:r>
      <m:oMath>
        <m:r>
          <m:rPr/>
          <w:rPr>
            <w:rFonts w:ascii="DejaVu Math TeX Gyre" w:hAnsi="DejaVu Math TeX Gyre" w:eastAsiaTheme="minorEastAsia"/>
            <w:szCs w:val="21"/>
            <w:highlight w:val="none"/>
          </w:rPr>
          <m:t xml:space="preserve"> </m:t>
        </m:r>
        <m:f>
          <m:fPr>
            <m:ctrlPr>
              <w:rPr>
                <w:rFonts w:ascii="DejaVu Math TeX Gyre" w:hAnsi="DejaVu Math TeX Gyre" w:eastAsiaTheme="minorEastAsia"/>
                <w:szCs w:val="21"/>
                <w:highlight w:val="none"/>
              </w:rPr>
            </m:ctrlPr>
          </m:fPr>
          <m:num>
            <m:r>
              <m:rPr>
                <m:sty m:val="p"/>
              </m:rPr>
              <w:rPr>
                <w:rFonts w:ascii="DejaVu Math TeX Gyre" w:hAnsi="DejaVu Math TeX Gyre" w:eastAsiaTheme="minorEastAsia"/>
                <w:highlight w:val="none"/>
              </w:rPr>
              <m:t xml:space="preserve"> </m:t>
            </m:r>
            <m:r>
              <m:rPr>
                <m:sty m:val="p"/>
              </m:rPr>
              <w:rPr>
                <w:rFonts w:ascii="DejaVu Math TeX Gyre" w:hAnsi="DejaVu Math TeX Gyre" w:eastAsiaTheme="minorEastAsia"/>
                <w:position w:val="-6"/>
                <w:highlight w:val="none"/>
              </w:rPr>
              <w:object>
                <v:shape id="_x0000_i1025" o:spt="75" type="#_x0000_t75" style="height:10.5pt;width:103.9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8">
                  <o:LockedField>false</o:LockedField>
                </o:OLEObject>
              </w:object>
            </m:r>
            <m:ctrlPr>
              <w:rPr>
                <w:rFonts w:ascii="DejaVu Math TeX Gyre" w:hAnsi="DejaVu Math TeX Gyre" w:eastAsiaTheme="minorEastAsia"/>
                <w:szCs w:val="21"/>
                <w:highlight w:val="none"/>
              </w:rPr>
            </m:ctrlPr>
          </m:num>
          <m:den>
            <m:r>
              <m:rPr>
                <m:sty m:val="p"/>
              </m:rPr>
              <w:rPr>
                <w:rFonts w:ascii="DejaVu Math TeX Gyre" w:hAnsi="DejaVu Math TeX Gyre" w:eastAsiaTheme="minorEastAsia"/>
                <w:position w:val="-6"/>
                <w:highlight w:val="none"/>
              </w:rPr>
              <w:object>
                <v:shape id="_x0000_i1026" o:spt="75" type="#_x0000_t75" style="height:10.5pt;width:90.0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10">
                  <o:LockedField>false</o:LockedField>
                </o:OLEObject>
              </w:object>
            </m:r>
            <m:ctrlPr>
              <w:rPr>
                <w:rFonts w:ascii="DejaVu Math TeX Gyre" w:hAnsi="DejaVu Math TeX Gyre" w:eastAsiaTheme="minorEastAsia"/>
                <w:szCs w:val="21"/>
                <w:highlight w:val="none"/>
              </w:rPr>
            </m:ctrlPr>
          </m:den>
        </m:f>
      </m:oMath>
      <w:r>
        <w:rPr>
          <w:rFonts w:hint="eastAsia" w:ascii="Times New Roman" w:hAnsi="Times New Roman" w:cs="Calibri"/>
          <w:szCs w:val="21"/>
          <w:highlight w:val="none"/>
        </w:rPr>
        <w:t>]</w:t>
      </w:r>
      <w:r>
        <w:rPr>
          <w:rFonts w:ascii="Times New Roman" w:hAnsi="Times New Roman" w:cs="Calibri"/>
          <w:szCs w:val="21"/>
          <w:highlight w:val="none"/>
        </w:rPr>
        <w:t xml:space="preserve"> ×100%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hint="eastAsia" w:ascii="Times New Roman" w:hAnsi="Times New Roman" w:cs="Calibri"/>
          <w:szCs w:val="21"/>
          <w:highlight w:val="none"/>
        </w:rPr>
        <w:t xml:space="preserve">7.3 </w:t>
      </w:r>
      <w:r>
        <w:rPr>
          <w:rFonts w:ascii="Times New Roman" w:hAnsi="Times New Roman" w:cs="Calibri"/>
          <w:szCs w:val="21"/>
          <w:highlight w:val="none"/>
        </w:rPr>
        <w:t>反应动力学常数</w:t>
      </w:r>
      <w:r>
        <w:rPr>
          <w:rFonts w:hint="eastAsia" w:ascii="Times New Roman" w:hAnsi="Times New Roman" w:cs="Calibri"/>
          <w:szCs w:val="21"/>
          <w:highlight w:val="none"/>
        </w:rPr>
        <w:t>计算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如给定时间的最高测试浓度（受试物终浓度为5 mM）符合半胱氨酸多肽结合阳性标准，即多肽消除率</w:t>
      </w:r>
      <w:r>
        <w:rPr>
          <w:rFonts w:hint="eastAsia" w:ascii="Times New Roman" w:hAnsi="Times New Roman" w:cs="Calibri"/>
          <w:szCs w:val="21"/>
          <w:highlight w:val="none"/>
        </w:rPr>
        <w:t>≥</w:t>
      </w:r>
      <w:r>
        <w:rPr>
          <w:rFonts w:ascii="Times New Roman" w:hAnsi="Times New Roman" w:cs="Calibri"/>
          <w:szCs w:val="21"/>
          <w:highlight w:val="none"/>
        </w:rPr>
        <w:t>13.89%，且与VC组差异有显著性，对该暴露时间进行进一步计算反应动力学常数。如不符合阳性标准，则受试物</w:t>
      </w:r>
      <w:r>
        <w:rPr>
          <w:rFonts w:ascii="Times New Roman" w:hAnsi="Times New Roman"/>
          <w:szCs w:val="21"/>
          <w:highlight w:val="none"/>
        </w:rPr>
        <w:t>为</w:t>
      </w:r>
      <w:r>
        <w:rPr>
          <w:rFonts w:hint="eastAsia" w:ascii="Times New Roman" w:hAnsi="Times New Roman"/>
          <w:szCs w:val="21"/>
          <w:highlight w:val="none"/>
        </w:rPr>
        <w:t>非反应性</w:t>
      </w:r>
      <w:r>
        <w:rPr>
          <w:rFonts w:ascii="Times New Roman" w:hAnsi="Times New Roman" w:cs="Calibri"/>
          <w:szCs w:val="21"/>
          <w:highlight w:val="none"/>
        </w:rPr>
        <w:t>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每个时间点，以未消耗肽占比（%）的自然对数，</w:t>
      </w:r>
      <w:r>
        <w:rPr>
          <w:rFonts w:hint="eastAsia" w:ascii="Times New Roman" w:hAnsi="Times New Roman" w:cs="Calibri"/>
          <w:szCs w:val="21"/>
          <w:highlight w:val="none"/>
        </w:rPr>
        <w:t>即</w:t>
      </w:r>
      <w:r>
        <w:rPr>
          <w:rFonts w:ascii="Times New Roman" w:hAnsi="Times New Roman" w:cs="Calibri"/>
          <w:szCs w:val="21"/>
          <w:highlight w:val="none"/>
        </w:rPr>
        <w:t>ln</w:t>
      </w:r>
      <w:bookmarkStart w:id="22" w:name="OLE_LINK17"/>
      <w:r>
        <w:rPr>
          <w:rFonts w:ascii="Times New Roman" w:hAnsi="Times New Roman" w:cs="Calibri"/>
          <w:szCs w:val="21"/>
          <w:highlight w:val="none"/>
        </w:rPr>
        <w:t>（</w:t>
      </w:r>
      <w:bookmarkEnd w:id="22"/>
      <w:r>
        <w:rPr>
          <w:rFonts w:ascii="Times New Roman" w:hAnsi="Times New Roman" w:cs="Calibri"/>
          <w:szCs w:val="21"/>
          <w:highlight w:val="none"/>
        </w:rPr>
        <w:t>100-dp）为纵坐标，受试物浓度为横坐标绘制反应曲线，若两者呈线性相关（相关系数</w:t>
      </w:r>
      <w:r>
        <w:rPr>
          <w:rFonts w:ascii="Times New Roman" w:hAnsi="Times New Roman" w:cs="Calibri"/>
          <w:i/>
          <w:iCs/>
          <w:szCs w:val="21"/>
          <w:highlight w:val="none"/>
        </w:rPr>
        <w:t>r</w:t>
      </w:r>
      <w:r>
        <w:rPr>
          <w:rFonts w:ascii="Times New Roman" w:hAnsi="Times New Roman" w:cs="Calibri"/>
          <w:szCs w:val="21"/>
          <w:highlight w:val="none"/>
        </w:rPr>
        <w:t>＞0.90），则得到的负斜率的绝对值即为准一级反应速率常数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observed</w:t>
      </w:r>
      <w:r>
        <w:rPr>
          <w:rFonts w:ascii="Times New Roman" w:hAnsi="Times New Roman" w:cs="Calibri"/>
          <w:szCs w:val="21"/>
          <w:highlight w:val="none"/>
        </w:rPr>
        <w:t>（mM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），按照下式计算各时间点反应动力学常数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t</w:t>
      </w:r>
      <w:r>
        <w:rPr>
          <w:rFonts w:ascii="Times New Roman" w:hAnsi="Times New Roman" w:cs="Calibri"/>
          <w:szCs w:val="21"/>
          <w:highlight w:val="none"/>
        </w:rPr>
        <w:t>（M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s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）：</w:t>
      </w:r>
    </w:p>
    <w:p>
      <w:pPr>
        <w:spacing w:line="300" w:lineRule="auto"/>
        <w:ind w:firstLine="420" w:firstLineChars="200"/>
        <w:jc w:val="center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i/>
          <w:iCs/>
          <w:szCs w:val="21"/>
          <w:highlight w:val="none"/>
          <w:vertAlign w:val="subscript"/>
        </w:rPr>
        <w:t>t</w:t>
      </w:r>
      <w:r>
        <w:rPr>
          <w:rFonts w:ascii="Times New Roman" w:hAnsi="Times New Roman" w:cs="Calibri"/>
          <w:szCs w:val="21"/>
          <w:highlight w:val="none"/>
        </w:rPr>
        <w:t>=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observed</w:t>
      </w:r>
      <w:r>
        <w:rPr>
          <w:rFonts w:ascii="Times New Roman" w:hAnsi="Times New Roman" w:cs="Calibri"/>
          <w:szCs w:val="21"/>
          <w:highlight w:val="none"/>
        </w:rPr>
        <w:t>·</w:t>
      </w:r>
      <w:r>
        <w:rPr>
          <w:rFonts w:ascii="Times New Roman" w:hAnsi="Times New Roman" w:cs="Calibri"/>
          <w:position w:val="-12"/>
          <w:szCs w:val="21"/>
          <w:highlight w:val="none"/>
        </w:rPr>
        <w:object>
          <v:shape id="_x0000_i1027" o:spt="75" type="#_x0000_t75" style="height:24.5pt;width:25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hint="eastAsia" w:ascii="Times New Roman" w:hAnsi="Times New Roman" w:cs="Calibri"/>
          <w:szCs w:val="21"/>
          <w:highlight w:val="none"/>
        </w:rPr>
        <w:t>注：</w:t>
      </w:r>
      <w:r>
        <w:rPr>
          <w:rFonts w:ascii="Times New Roman" w:hAnsi="Times New Roman" w:cs="Calibri"/>
          <w:szCs w:val="21"/>
          <w:highlight w:val="none"/>
        </w:rPr>
        <w:t>t为孵育时间，以min表示。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计算所有满足</w:t>
      </w:r>
      <w:r>
        <w:rPr>
          <w:rFonts w:ascii="Times New Roman" w:hAnsi="Times New Roman" w:cs="Calibri"/>
          <w:i/>
          <w:iCs/>
          <w:szCs w:val="21"/>
          <w:highlight w:val="none"/>
        </w:rPr>
        <w:t>r</w:t>
      </w:r>
      <w:r>
        <w:rPr>
          <w:rFonts w:ascii="Times New Roman" w:hAnsi="Times New Roman" w:cs="Calibri"/>
          <w:szCs w:val="21"/>
          <w:highlight w:val="none"/>
        </w:rPr>
        <w:t>＞0.90的孵育时间的lg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t</w:t>
      </w:r>
      <w:r>
        <w:rPr>
          <w:rFonts w:ascii="Times New Roman" w:hAnsi="Times New Roman" w:cs="Calibri"/>
          <w:szCs w:val="21"/>
          <w:highlight w:val="none"/>
        </w:rPr>
        <w:t>，取其中最大值为lg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max</w:t>
      </w:r>
      <w:r>
        <w:rPr>
          <w:rFonts w:ascii="Times New Roman" w:hAnsi="Times New Roman" w:cs="Calibri"/>
          <w:szCs w:val="21"/>
          <w:highlight w:val="none"/>
        </w:rPr>
        <w:t>。</w:t>
      </w:r>
    </w:p>
    <w:p>
      <w:pPr>
        <w:tabs>
          <w:tab w:val="left" w:pos="3360"/>
        </w:tabs>
        <w:spacing w:before="156" w:beforeLines="50" w:after="156" w:afterLines="50" w:line="300" w:lineRule="auto"/>
        <w:outlineLvl w:val="2"/>
        <w:rPr>
          <w:rFonts w:ascii="Times New Roman" w:hAnsi="Times New Roman" w:eastAsia="黑体" w:cs="Calibri"/>
          <w:szCs w:val="21"/>
          <w:highlight w:val="none"/>
        </w:rPr>
      </w:pPr>
      <w:bookmarkStart w:id="23" w:name="_Toc22333"/>
      <w:bookmarkStart w:id="24" w:name="OLE_LINK6"/>
      <w:r>
        <w:rPr>
          <w:rFonts w:ascii="Times New Roman" w:hAnsi="Times New Roman" w:eastAsia="黑体" w:cs="Calibri"/>
          <w:szCs w:val="21"/>
          <w:highlight w:val="none"/>
        </w:rPr>
        <w:t>8 试验成立条件</w:t>
      </w:r>
      <w:bookmarkEnd w:id="23"/>
    </w:p>
    <w:bookmarkEnd w:id="24"/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阳性对照组90 min</w:t>
      </w:r>
      <w:r>
        <w:rPr>
          <w:rFonts w:hint="eastAsia" w:ascii="Times New Roman" w:hAnsi="Times New Roman" w:cs="Calibri"/>
          <w:szCs w:val="21"/>
          <w:highlight w:val="none"/>
        </w:rPr>
        <w:t>时间点</w:t>
      </w:r>
      <w:r>
        <w:rPr>
          <w:rFonts w:ascii="Times New Roman" w:hAnsi="Times New Roman" w:cs="Calibri"/>
          <w:szCs w:val="21"/>
          <w:highlight w:val="none"/>
        </w:rPr>
        <w:t xml:space="preserve"> 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</w:rPr>
        <w:t>值应在-1.75 M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s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hint="eastAsia" w:ascii="Times New Roman" w:hAnsi="Times New Roman" w:cs="Calibri"/>
          <w:szCs w:val="21"/>
          <w:highlight w:val="none"/>
          <w:vertAlign w:val="superscript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~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-1.40 M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s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范围内，若90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min时间点没有得到lg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</w:rPr>
        <w:t>值，150 min时间点lg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</w:rPr>
        <w:t>应在-1.90 M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s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hint="eastAsia" w:ascii="Times New Roman" w:hAnsi="Times New Roman" w:cs="Calibri"/>
          <w:szCs w:val="21"/>
          <w:highlight w:val="none"/>
          <w:vertAlign w:val="superscript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~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-1.45 M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s</w:t>
      </w:r>
      <w:r>
        <w:rPr>
          <w:rFonts w:ascii="Times New Roman" w:hAnsi="Times New Roman" w:cs="Calibri"/>
          <w:szCs w:val="21"/>
          <w:highlight w:val="none"/>
          <w:vertAlign w:val="superscript"/>
        </w:rPr>
        <w:t>-1</w:t>
      </w:r>
      <w:r>
        <w:rPr>
          <w:rFonts w:ascii="Times New Roman" w:hAnsi="Times New Roman" w:cs="Calibri"/>
          <w:szCs w:val="21"/>
          <w:highlight w:val="none"/>
        </w:rPr>
        <w:t>范围内。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至少有5个时间点溶剂对照组变异系数（Coefficient of Variation，CV）＜</w:t>
      </w:r>
      <w:r>
        <w:rPr>
          <w:rFonts w:hint="eastAsia" w:ascii="Times New Roman" w:hAnsi="Times New Roman" w:cs="Calibri"/>
          <w:szCs w:val="21"/>
          <w:highlight w:val="none"/>
        </w:rPr>
        <w:t>15</w:t>
      </w:r>
      <w:r>
        <w:rPr>
          <w:rFonts w:ascii="Times New Roman" w:hAnsi="Times New Roman" w:cs="Calibri"/>
          <w:szCs w:val="21"/>
          <w:highlight w:val="none"/>
        </w:rPr>
        <w:t>%。</w:t>
      </w:r>
    </w:p>
    <w:p>
      <w:pPr>
        <w:tabs>
          <w:tab w:val="left" w:pos="3360"/>
        </w:tabs>
        <w:spacing w:before="156" w:beforeLines="50" w:after="156" w:afterLines="50" w:line="300" w:lineRule="auto"/>
        <w:outlineLvl w:val="2"/>
        <w:rPr>
          <w:rFonts w:ascii="Times New Roman" w:hAnsi="Times New Roman" w:eastAsia="黑体" w:cs="Calibri"/>
          <w:szCs w:val="21"/>
          <w:highlight w:val="none"/>
        </w:rPr>
      </w:pPr>
      <w:bookmarkStart w:id="25" w:name="_Toc20590"/>
      <w:r>
        <w:rPr>
          <w:rFonts w:ascii="Times New Roman" w:hAnsi="Times New Roman" w:eastAsia="黑体" w:cs="Calibri"/>
          <w:szCs w:val="21"/>
          <w:highlight w:val="none"/>
        </w:rPr>
        <w:t>9 结果判定标准</w:t>
      </w:r>
      <w:bookmarkEnd w:id="25"/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按表1对受试物进行致敏性分级。</w:t>
      </w:r>
      <w:bookmarkStart w:id="33" w:name="_GoBack"/>
      <w:bookmarkEnd w:id="33"/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</w:p>
    <w:p>
      <w:pPr>
        <w:spacing w:before="156" w:beforeLines="50" w:after="156" w:afterLines="50" w:line="300" w:lineRule="auto"/>
        <w:jc w:val="center"/>
        <w:rPr>
          <w:rFonts w:ascii="Times New Roman" w:hAnsi="Times New Roman" w:eastAsia="黑体" w:cs="Calibri"/>
          <w:szCs w:val="21"/>
          <w:highlight w:val="none"/>
        </w:rPr>
      </w:pPr>
      <w:r>
        <w:rPr>
          <w:rFonts w:ascii="Times New Roman" w:hAnsi="Times New Roman" w:eastAsia="黑体" w:cs="Calibri"/>
          <w:szCs w:val="21"/>
          <w:highlight w:val="none"/>
        </w:rPr>
        <w:t>表1  kDPRA结果判断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325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8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Calibri"/>
                <w:szCs w:val="21"/>
                <w:highlight w:val="none"/>
              </w:rPr>
            </w:pPr>
            <w:r>
              <w:rPr>
                <w:rFonts w:ascii="Times New Roman" w:hAnsi="Times New Roman" w:cs="Calibri"/>
                <w:szCs w:val="21"/>
                <w:highlight w:val="none"/>
              </w:rPr>
              <w:t>试验结果</w:t>
            </w:r>
          </w:p>
        </w:tc>
        <w:tc>
          <w:tcPr>
            <w:tcW w:w="325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Calibri"/>
                <w:szCs w:val="21"/>
                <w:highlight w:val="none"/>
              </w:rPr>
            </w:pPr>
            <w:r>
              <w:rPr>
                <w:rFonts w:ascii="Times New Roman" w:hAnsi="Times New Roman" w:cs="Calibri"/>
                <w:szCs w:val="21"/>
                <w:highlight w:val="none"/>
              </w:rPr>
              <w:t>预测结</w:t>
            </w:r>
            <w:r>
              <w:rPr>
                <w:rFonts w:hint="eastAsia" w:ascii="Times New Roman" w:hAnsi="Times New Roman" w:cs="Calibri"/>
                <w:szCs w:val="21"/>
                <w:highlight w:val="none"/>
              </w:rPr>
              <w:t>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84" w:type="dxa"/>
            <w:tcBorders>
              <w:bottom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Calibri"/>
                <w:szCs w:val="21"/>
                <w:highlight w:val="none"/>
              </w:rPr>
            </w:pPr>
            <w:r>
              <w:rPr>
                <w:rFonts w:ascii="Times New Roman" w:hAnsi="Times New Roman" w:cs="Calibri"/>
                <w:szCs w:val="21"/>
                <w:highlight w:val="none"/>
              </w:rPr>
              <w:t>lg</w:t>
            </w:r>
            <w:r>
              <w:rPr>
                <w:rFonts w:ascii="Times New Roman" w:hAnsi="Times New Roman" w:cs="Calibri"/>
                <w:i/>
                <w:szCs w:val="21"/>
                <w:highlight w:val="none"/>
              </w:rPr>
              <w:t>k</w:t>
            </w:r>
            <w:r>
              <w:rPr>
                <w:rFonts w:ascii="Times New Roman" w:hAnsi="Times New Roman" w:cs="Calibri"/>
                <w:szCs w:val="21"/>
                <w:highlight w:val="none"/>
                <w:vertAlign w:val="subscript"/>
              </w:rPr>
              <w:t>max</w:t>
            </w:r>
            <w:r>
              <w:rPr>
                <w:rFonts w:hint="eastAsia" w:ascii="Times New Roman" w:hAnsi="Times New Roman" w:cs="Calibri"/>
                <w:szCs w:val="21"/>
                <w:highlight w:val="none"/>
                <w:vertAlign w:val="subscript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-</w:t>
            </w:r>
            <w:r>
              <w:rPr>
                <w:rFonts w:ascii="Times New Roman" w:hAnsi="Times New Roman" w:cs="Calibri"/>
                <w:szCs w:val="21"/>
                <w:highlight w:val="none"/>
              </w:rPr>
              <w:t>2.0</w:t>
            </w:r>
          </w:p>
        </w:tc>
        <w:tc>
          <w:tcPr>
            <w:tcW w:w="3255" w:type="dxa"/>
            <w:tcBorders>
              <w:bottom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Calibri"/>
                <w:szCs w:val="21"/>
                <w:highlight w:val="none"/>
              </w:rPr>
            </w:pPr>
            <w:bookmarkStart w:id="26" w:name="OLE_LINK62"/>
            <w:r>
              <w:rPr>
                <w:rFonts w:hint="eastAsia" w:ascii="Times New Roman" w:hAnsi="Times New Roman"/>
                <w:szCs w:val="21"/>
                <w:highlight w:val="none"/>
              </w:rPr>
              <w:t>极强或</w:t>
            </w:r>
            <w:r>
              <w:rPr>
                <w:rFonts w:hint="eastAsia" w:ascii="Times New Roman" w:hAnsi="Times New Roman" w:cs="Calibri"/>
                <w:szCs w:val="21"/>
                <w:highlight w:val="none"/>
              </w:rPr>
              <w:t>强致敏剂</w:t>
            </w:r>
            <w:bookmarkEnd w:id="26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84" w:type="dxa"/>
            <w:tcBorders>
              <w:top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Calibri"/>
                <w:szCs w:val="21"/>
                <w:highlight w:val="none"/>
              </w:rPr>
            </w:pPr>
            <w:r>
              <w:rPr>
                <w:rFonts w:ascii="Times New Roman" w:hAnsi="Times New Roman" w:cs="Calibri"/>
                <w:szCs w:val="21"/>
                <w:highlight w:val="none"/>
              </w:rPr>
              <w:t>非反应性或lg</w:t>
            </w:r>
            <w:r>
              <w:rPr>
                <w:rFonts w:ascii="Times New Roman" w:hAnsi="Times New Roman" w:cs="Calibri"/>
                <w:i/>
                <w:szCs w:val="21"/>
                <w:highlight w:val="none"/>
              </w:rPr>
              <w:t>k</w:t>
            </w:r>
            <w:r>
              <w:rPr>
                <w:rFonts w:ascii="Times New Roman" w:hAnsi="Times New Roman" w:cs="Calibri"/>
                <w:szCs w:val="21"/>
                <w:highlight w:val="none"/>
                <w:vertAlign w:val="subscript"/>
              </w:rPr>
              <w:t>max</w:t>
            </w:r>
            <w:r>
              <w:rPr>
                <w:rFonts w:hint="eastAsia" w:ascii="Times New Roman" w:hAnsi="Times New Roman" w:cs="Calibri"/>
                <w:szCs w:val="21"/>
                <w:highlight w:val="none"/>
                <w:vertAlign w:val="subscript"/>
              </w:rPr>
              <w:t xml:space="preserve"> </w:t>
            </w:r>
            <w:r>
              <w:rPr>
                <w:rFonts w:ascii="Times New Roman" w:hAnsi="Times New Roman" w:cs="Calibri"/>
                <w:szCs w:val="21"/>
                <w:highlight w:val="none"/>
              </w:rPr>
              <w:t>＜-2.0</w:t>
            </w:r>
          </w:p>
        </w:tc>
        <w:tc>
          <w:tcPr>
            <w:tcW w:w="3255" w:type="dxa"/>
            <w:tcBorders>
              <w:top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Calibri"/>
                <w:szCs w:val="21"/>
                <w:highlight w:val="none"/>
              </w:rPr>
            </w:pPr>
            <w:bookmarkStart w:id="27" w:name="OLE_LINK63"/>
            <w:r>
              <w:rPr>
                <w:rFonts w:hint="eastAsia" w:ascii="Times New Roman" w:hAnsi="Times New Roman" w:cs="Calibri"/>
                <w:szCs w:val="21"/>
                <w:highlight w:val="none"/>
              </w:rPr>
              <w:t>非致敏剂或中、弱致敏剂</w:t>
            </w:r>
            <w:bookmarkEnd w:id="27"/>
          </w:p>
        </w:tc>
      </w:tr>
    </w:tbl>
    <w:p>
      <w:pPr>
        <w:tabs>
          <w:tab w:val="left" w:pos="3360"/>
        </w:tabs>
        <w:spacing w:before="156" w:beforeLines="50" w:after="156" w:afterLines="50" w:line="300" w:lineRule="auto"/>
        <w:outlineLvl w:val="2"/>
        <w:rPr>
          <w:rFonts w:ascii="Times New Roman" w:hAnsi="Times New Roman" w:eastAsia="黑体" w:cs="Calibri"/>
          <w:szCs w:val="21"/>
          <w:highlight w:val="none"/>
        </w:rPr>
      </w:pPr>
      <w:bookmarkStart w:id="28" w:name="_Toc3043"/>
      <w:r>
        <w:rPr>
          <w:rFonts w:ascii="Times New Roman" w:hAnsi="Times New Roman" w:eastAsia="黑体" w:cs="Calibri"/>
          <w:szCs w:val="21"/>
          <w:highlight w:val="none"/>
        </w:rPr>
        <w:t>10 注意事项</w:t>
      </w:r>
      <w:bookmarkEnd w:id="28"/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bookmarkStart w:id="29" w:name="OLE_LINK8"/>
      <w:r>
        <w:rPr>
          <w:rFonts w:ascii="Times New Roman" w:hAnsi="Times New Roman" w:cs="Calibri"/>
          <w:szCs w:val="21"/>
          <w:highlight w:val="none"/>
        </w:rPr>
        <w:t>10.</w:t>
      </w:r>
      <w:r>
        <w:rPr>
          <w:rFonts w:hint="eastAsia" w:ascii="Times New Roman" w:hAnsi="Times New Roman" w:cs="Calibri"/>
          <w:szCs w:val="21"/>
          <w:highlight w:val="none"/>
        </w:rPr>
        <w:t>1 溶剂为磷酸盐缓冲液的受试物</w:t>
      </w:r>
    </w:p>
    <w:p>
      <w:pPr>
        <w:spacing w:line="300" w:lineRule="auto"/>
        <w:ind w:firstLine="420" w:firstLineChars="200"/>
        <w:rPr>
          <w:rFonts w:ascii="Times New Roman" w:hAnsi="Times New Roman"/>
          <w:szCs w:val="21"/>
          <w:highlight w:val="none"/>
        </w:rPr>
      </w:pPr>
      <w:r>
        <w:rPr>
          <w:rFonts w:hint="eastAsia" w:ascii="Times New Roman" w:hAnsi="Times New Roman"/>
          <w:szCs w:val="21"/>
          <w:highlight w:val="none"/>
        </w:rPr>
        <w:t xml:space="preserve">如果受试物溶剂为磷酸盐缓冲液，则半胱氨酸多肽贮备液配制浓度为1 mM（0.752 mg/mL），同时反应板制备时半胱氨酸多肽贮备液（或磷酸盐缓冲液）每孔加样体积减少到80 </w:t>
      </w:r>
      <w:r>
        <w:rPr>
          <w:rFonts w:ascii="Times New Roman" w:hAnsi="Times New Roman"/>
          <w:szCs w:val="21"/>
          <w:highlight w:val="none"/>
        </w:rPr>
        <w:t>μL</w:t>
      </w:r>
      <w:r>
        <w:rPr>
          <w:rFonts w:hint="eastAsia" w:ascii="Times New Roman" w:hAnsi="Times New Roman"/>
          <w:szCs w:val="21"/>
          <w:highlight w:val="none"/>
        </w:rPr>
        <w:t xml:space="preserve">，然后再加入乙腈或磷酸盐缓冲液40 </w:t>
      </w:r>
      <w:r>
        <w:rPr>
          <w:rFonts w:ascii="Times New Roman" w:hAnsi="Times New Roman"/>
          <w:szCs w:val="21"/>
          <w:highlight w:val="none"/>
        </w:rPr>
        <w:t>μL</w:t>
      </w:r>
      <w:r>
        <w:rPr>
          <w:rFonts w:hint="eastAsia" w:ascii="Times New Roman" w:hAnsi="Times New Roman"/>
          <w:szCs w:val="21"/>
          <w:highlight w:val="none"/>
        </w:rPr>
        <w:t xml:space="preserve">补至120 </w:t>
      </w:r>
      <w:r>
        <w:rPr>
          <w:rFonts w:ascii="Times New Roman" w:hAnsi="Times New Roman"/>
          <w:szCs w:val="21"/>
          <w:highlight w:val="none"/>
        </w:rPr>
        <w:t>μ</w:t>
      </w:r>
      <w:r>
        <w:rPr>
          <w:rFonts w:hint="eastAsia" w:ascii="Times New Roman" w:hAnsi="Times New Roman"/>
          <w:szCs w:val="21"/>
          <w:highlight w:val="none"/>
        </w:rPr>
        <w:t>L，使所有孔中乙腈总体积仍为40 µL。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10.</w:t>
      </w:r>
      <w:r>
        <w:rPr>
          <w:rFonts w:hint="eastAsia" w:ascii="Times New Roman" w:hAnsi="Times New Roman" w:cs="Calibri"/>
          <w:szCs w:val="21"/>
          <w:highlight w:val="none"/>
        </w:rPr>
        <w:t>2</w:t>
      </w:r>
      <w:r>
        <w:rPr>
          <w:rFonts w:ascii="Times New Roman" w:hAnsi="Times New Roman" w:cs="Calibri"/>
          <w:szCs w:val="21"/>
          <w:highlight w:val="none"/>
        </w:rPr>
        <w:t xml:space="preserve"> 非线性</w:t>
      </w:r>
      <w:r>
        <w:rPr>
          <w:rFonts w:hint="eastAsia" w:ascii="Times New Roman" w:hAnsi="Times New Roman" w:cs="Calibri"/>
          <w:szCs w:val="21"/>
          <w:highlight w:val="none"/>
        </w:rPr>
        <w:t>反</w:t>
      </w:r>
      <w:r>
        <w:rPr>
          <w:rFonts w:ascii="Times New Roman" w:hAnsi="Times New Roman" w:cs="Calibri"/>
          <w:szCs w:val="21"/>
          <w:highlight w:val="none"/>
        </w:rPr>
        <w:t>应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hint="eastAsia" w:ascii="Times New Roman" w:hAnsi="Times New Roman" w:cs="Calibri"/>
          <w:szCs w:val="21"/>
          <w:highlight w:val="none"/>
        </w:rPr>
        <w:t>出现非线性反应时</w:t>
      </w:r>
      <w:r>
        <w:rPr>
          <w:rFonts w:ascii="Times New Roman" w:hAnsi="Times New Roman" w:cs="Calibri"/>
          <w:szCs w:val="21"/>
          <w:highlight w:val="none"/>
        </w:rPr>
        <w:t>无法通过斜率法求得速率常数。速率常数可以根据多肽消除率个体值按以下公式计算：</w:t>
      </w:r>
    </w:p>
    <w:p>
      <w:pPr>
        <w:spacing w:line="300" w:lineRule="auto"/>
        <w:ind w:firstLine="420" w:firstLineChars="200"/>
        <w:jc w:val="center"/>
        <w:rPr>
          <w:rFonts w:ascii="Times New Roman" w:hAnsi="Times New Roman" w:cs="Calibri"/>
          <w:color w:val="000000"/>
          <w:szCs w:val="21"/>
          <w:highlight w:val="none"/>
        </w:rPr>
      </w:pPr>
      <w:r>
        <w:rPr>
          <w:rFonts w:ascii="Times New Roman" w:hAnsi="Times New Roman" w:cs="Calibri"/>
          <w:i/>
          <w:iCs/>
          <w:color w:val="000000"/>
          <w:szCs w:val="21"/>
          <w:highlight w:val="none"/>
        </w:rPr>
        <w:t>k</w:t>
      </w:r>
      <w:r>
        <w:rPr>
          <w:rFonts w:ascii="Times New Roman" w:hAnsi="Times New Roman" w:cs="Calibri"/>
          <w:color w:val="000000"/>
          <w:szCs w:val="21"/>
          <w:highlight w:val="none"/>
        </w:rPr>
        <w:t>=</w:t>
      </w:r>
      <w:r>
        <w:rPr>
          <w:rFonts w:ascii="Times New Roman" w:hAnsi="Times New Roman" w:cs="Calibri"/>
          <w:color w:val="000000"/>
          <w:position w:val="-10"/>
          <w:szCs w:val="21"/>
          <w:highlight w:val="none"/>
        </w:rPr>
        <w:object>
          <v:shape id="_x0000_i1028" o:spt="75" type="#_x0000_t75" style="height:17pt;width:9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cs="Calibri"/>
          <w:color w:val="000000"/>
          <w:position w:val="-12"/>
          <w:szCs w:val="21"/>
          <w:highlight w:val="none"/>
        </w:rPr>
        <w:object>
          <v:shape id="_x0000_i1029" o:spt="75" type="#_x0000_t75" style="height:25.25pt;width:6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hint="eastAsia" w:ascii="Times New Roman" w:hAnsi="Times New Roman" w:cs="Calibri"/>
          <w:szCs w:val="21"/>
          <w:highlight w:val="none"/>
        </w:rPr>
        <w:t>注：</w:t>
      </w:r>
      <w:r>
        <w:rPr>
          <w:rFonts w:ascii="Times New Roman" w:hAnsi="Times New Roman" w:cs="Calibri"/>
          <w:szCs w:val="21"/>
          <w:highlight w:val="none"/>
        </w:rPr>
        <w:t>dp</w:t>
      </w:r>
      <w:r>
        <w:rPr>
          <w:rFonts w:hint="eastAsia" w:ascii="Times New Roman" w:hAnsi="Times New Roman" w:cs="Calibri"/>
          <w:szCs w:val="21"/>
          <w:highlight w:val="none"/>
        </w:rPr>
        <w:t>为</w:t>
      </w:r>
      <w:r>
        <w:rPr>
          <w:rFonts w:ascii="Times New Roman" w:hAnsi="Times New Roman" w:cs="Calibri"/>
          <w:szCs w:val="21"/>
          <w:highlight w:val="none"/>
        </w:rPr>
        <w:t>多肽消除率（%），E</w:t>
      </w:r>
      <w:r>
        <w:rPr>
          <w:rFonts w:hint="eastAsia" w:ascii="Times New Roman" w:hAnsi="Times New Roman" w:cs="Calibri"/>
          <w:szCs w:val="21"/>
          <w:highlight w:val="none"/>
        </w:rPr>
        <w:t>为</w:t>
      </w:r>
      <w:r>
        <w:rPr>
          <w:rFonts w:ascii="Times New Roman" w:hAnsi="Times New Roman" w:cs="Calibri"/>
          <w:szCs w:val="21"/>
          <w:highlight w:val="none"/>
        </w:rPr>
        <w:t>受试物的浓度，t是孵育时间。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根据该公式，计算多肽消耗率</w:t>
      </w:r>
      <w:bookmarkStart w:id="30" w:name="OLE_LINK2"/>
      <w:r>
        <w:rPr>
          <w:rFonts w:ascii="Times New Roman" w:hAnsi="Times New Roman" w:cs="Calibri"/>
          <w:szCs w:val="21"/>
          <w:highlight w:val="none"/>
        </w:rPr>
        <w:t>高于</w:t>
      </w:r>
      <w:bookmarkEnd w:id="30"/>
      <w:r>
        <w:rPr>
          <w:rFonts w:ascii="Times New Roman" w:hAnsi="Times New Roman" w:cs="Calibri"/>
          <w:szCs w:val="21"/>
          <w:highlight w:val="none"/>
        </w:rPr>
        <w:t>13.89%的阈值的每个时间点t和每个浓度E下的速率常数。将每个时间点不同浓度多肽消耗率求平均值，然后得到lg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max</w:t>
      </w:r>
      <w:r>
        <w:rPr>
          <w:rFonts w:ascii="Times New Roman" w:hAnsi="Times New Roman" w:cs="Calibri"/>
          <w:szCs w:val="21"/>
          <w:highlight w:val="none"/>
        </w:rPr>
        <w:t>值。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bookmarkStart w:id="31" w:name="OLE_LINK3"/>
      <w:r>
        <w:rPr>
          <w:rFonts w:ascii="Times New Roman" w:hAnsi="Times New Roman" w:cs="Calibri"/>
          <w:szCs w:val="21"/>
          <w:highlight w:val="none"/>
        </w:rPr>
        <w:t>在发生明显多肽结合的情况下，很少会出现</w:t>
      </w:r>
      <w:bookmarkStart w:id="32" w:name="OLE_LINK60"/>
      <w:r>
        <w:rPr>
          <w:rFonts w:ascii="Times New Roman" w:hAnsi="Times New Roman" w:cs="Calibri"/>
          <w:szCs w:val="21"/>
          <w:highlight w:val="none"/>
        </w:rPr>
        <w:t>非线性反应</w:t>
      </w:r>
      <w:bookmarkEnd w:id="32"/>
      <w:r>
        <w:rPr>
          <w:rFonts w:ascii="Times New Roman" w:hAnsi="Times New Roman" w:cs="Calibri"/>
          <w:szCs w:val="21"/>
          <w:highlight w:val="none"/>
        </w:rPr>
        <w:t>。</w:t>
      </w:r>
      <w:bookmarkEnd w:id="31"/>
      <w:r>
        <w:rPr>
          <w:rFonts w:hint="eastAsia" w:ascii="Times New Roman" w:hAnsi="Times New Roman" w:cs="Calibri"/>
          <w:szCs w:val="21"/>
          <w:highlight w:val="none"/>
        </w:rPr>
        <w:t>出现</w:t>
      </w:r>
      <w:r>
        <w:rPr>
          <w:rFonts w:ascii="Times New Roman" w:hAnsi="Times New Roman" w:cs="Calibri"/>
          <w:szCs w:val="21"/>
          <w:highlight w:val="none"/>
        </w:rPr>
        <w:t>非线性反应</w:t>
      </w:r>
      <w:r>
        <w:rPr>
          <w:rFonts w:hint="eastAsia" w:ascii="Times New Roman" w:hAnsi="Times New Roman" w:cs="Calibri"/>
          <w:szCs w:val="21"/>
          <w:highlight w:val="none"/>
        </w:rPr>
        <w:t>须</w:t>
      </w:r>
      <w:r>
        <w:rPr>
          <w:rFonts w:ascii="Times New Roman" w:hAnsi="Times New Roman" w:cs="Calibri"/>
          <w:szCs w:val="21"/>
          <w:highlight w:val="none"/>
        </w:rPr>
        <w:t>进行重复试验，以检查这种非线性</w:t>
      </w:r>
      <w:r>
        <w:rPr>
          <w:rFonts w:hint="eastAsia" w:ascii="Times New Roman" w:hAnsi="Times New Roman" w:cs="Calibri"/>
          <w:szCs w:val="21"/>
          <w:highlight w:val="none"/>
        </w:rPr>
        <w:t>反应</w:t>
      </w:r>
      <w:r>
        <w:rPr>
          <w:rFonts w:ascii="Times New Roman" w:hAnsi="Times New Roman" w:cs="Calibri"/>
          <w:szCs w:val="21"/>
          <w:highlight w:val="none"/>
        </w:rPr>
        <w:t>是受试物固有的，还是试验误差所致</w:t>
      </w:r>
      <w:r>
        <w:rPr>
          <w:rFonts w:hint="eastAsia" w:ascii="Times New Roman" w:hAnsi="Times New Roman" w:cs="Calibri"/>
          <w:szCs w:val="21"/>
          <w:highlight w:val="none"/>
        </w:rPr>
        <w:t>。</w:t>
      </w:r>
      <w:r>
        <w:rPr>
          <w:rFonts w:ascii="Times New Roman" w:hAnsi="Times New Roman" w:cs="Calibri"/>
          <w:szCs w:val="21"/>
          <w:highlight w:val="none"/>
        </w:rPr>
        <w:t>如果非线性结果可重复，</w:t>
      </w:r>
      <w:r>
        <w:rPr>
          <w:rFonts w:hint="eastAsia" w:ascii="Times New Roman" w:hAnsi="Times New Roman" w:cs="Calibri"/>
          <w:szCs w:val="21"/>
          <w:highlight w:val="none"/>
        </w:rPr>
        <w:t>则判定受试物</w:t>
      </w:r>
      <w:r>
        <w:rPr>
          <w:rFonts w:ascii="Times New Roman" w:hAnsi="Times New Roman" w:cs="Calibri"/>
          <w:szCs w:val="21"/>
          <w:highlight w:val="none"/>
        </w:rPr>
        <w:t>存在固有的非线性反应</w:t>
      </w:r>
      <w:r>
        <w:rPr>
          <w:rFonts w:hint="eastAsia" w:ascii="Times New Roman" w:hAnsi="Times New Roman" w:cs="Calibri"/>
          <w:szCs w:val="21"/>
          <w:highlight w:val="none"/>
        </w:rPr>
        <w:t>，可采用上述公式基于个体值的计算结果进行判断。若仅</w:t>
      </w:r>
      <w:r>
        <w:rPr>
          <w:rFonts w:ascii="Times New Roman" w:hAnsi="Times New Roman" w:cs="Calibri"/>
          <w:szCs w:val="21"/>
          <w:highlight w:val="none"/>
        </w:rPr>
        <w:t>在早期时间点观察到显著的肽消耗，但在随后的时间点没有观察到，</w:t>
      </w:r>
      <w:r>
        <w:rPr>
          <w:rFonts w:hint="eastAsia" w:ascii="Times New Roman" w:hAnsi="Times New Roman" w:cs="Calibri"/>
          <w:szCs w:val="21"/>
          <w:highlight w:val="none"/>
        </w:rPr>
        <w:t>也</w:t>
      </w:r>
      <w:r>
        <w:rPr>
          <w:rFonts w:ascii="Times New Roman" w:hAnsi="Times New Roman" w:cs="Calibri"/>
          <w:szCs w:val="21"/>
          <w:highlight w:val="none"/>
        </w:rPr>
        <w:t>可以将早期时间点的lg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t</w:t>
      </w:r>
      <w:r>
        <w:rPr>
          <w:rFonts w:ascii="Times New Roman" w:hAnsi="Times New Roman" w:cs="Calibri"/>
          <w:szCs w:val="21"/>
          <w:highlight w:val="none"/>
        </w:rPr>
        <w:t>作为结果进行致敏性分级判定。</w:t>
      </w:r>
    </w:p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hint="eastAsia" w:ascii="Times New Roman" w:hAnsi="Times New Roman" w:cs="Calibri"/>
          <w:szCs w:val="21"/>
          <w:highlight w:val="none"/>
        </w:rPr>
        <w:t>10.3 溶解度低于20 mM的受试物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对于最大溶解浓度低于20 mM的受试物，可在较低浓度下进行试验</w:t>
      </w:r>
      <w:r>
        <w:rPr>
          <w:rFonts w:hint="eastAsia" w:ascii="Times New Roman" w:hAnsi="Times New Roman" w:cs="Calibri"/>
          <w:szCs w:val="21"/>
          <w:highlight w:val="none"/>
        </w:rPr>
        <w:t>，如出现</w:t>
      </w:r>
      <w:r>
        <w:rPr>
          <w:rFonts w:ascii="Times New Roman" w:hAnsi="Times New Roman" w:cs="Calibri"/>
          <w:szCs w:val="21"/>
          <w:highlight w:val="none"/>
        </w:rPr>
        <w:t>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max</w:t>
      </w:r>
      <w:r>
        <w:rPr>
          <w:rFonts w:hint="eastAsia" w:ascii="Times New Roman" w:hAnsi="Times New Roman" w:cs="Calibri"/>
          <w:szCs w:val="21"/>
          <w:highlight w:val="none"/>
        </w:rPr>
        <w:t>≥</w:t>
      </w:r>
      <w:r>
        <w:rPr>
          <w:rFonts w:ascii="Times New Roman" w:hAnsi="Times New Roman" w:cs="Calibri"/>
          <w:szCs w:val="21"/>
          <w:highlight w:val="none"/>
        </w:rPr>
        <w:t>-2.0的结果</w:t>
      </w:r>
      <w:r>
        <w:rPr>
          <w:rFonts w:hint="eastAsia" w:ascii="Times New Roman" w:hAnsi="Times New Roman" w:cs="Calibri"/>
          <w:szCs w:val="21"/>
          <w:highlight w:val="none"/>
        </w:rPr>
        <w:t>，受试物可以</w:t>
      </w:r>
      <w:r>
        <w:rPr>
          <w:rFonts w:ascii="Times New Roman" w:hAnsi="Times New Roman" w:cs="Calibri"/>
          <w:szCs w:val="21"/>
          <w:highlight w:val="none"/>
        </w:rPr>
        <w:t>判断为GHS 1A亚类皮肤致敏物，但对于非</w:t>
      </w:r>
      <w:r>
        <w:rPr>
          <w:rFonts w:hint="eastAsia" w:ascii="Times New Roman" w:hAnsi="Times New Roman" w:cs="Calibri"/>
          <w:szCs w:val="21"/>
          <w:highlight w:val="none"/>
        </w:rPr>
        <w:t>致敏性</w:t>
      </w:r>
      <w:r>
        <w:rPr>
          <w:rFonts w:ascii="Times New Roman" w:hAnsi="Times New Roman" w:cs="Calibri"/>
          <w:szCs w:val="21"/>
          <w:highlight w:val="none"/>
        </w:rPr>
        <w:t>或lg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max</w:t>
      </w:r>
      <w:r>
        <w:rPr>
          <w:rFonts w:ascii="Times New Roman" w:hAnsi="Times New Roman" w:cs="Calibri"/>
          <w:szCs w:val="21"/>
          <w:highlight w:val="none"/>
        </w:rPr>
        <w:t>＜-2.0的结果则不能得出明确结论。此外，当得到lg</w:t>
      </w:r>
      <w:r>
        <w:rPr>
          <w:rFonts w:ascii="Times New Roman" w:hAnsi="Times New Roman" w:cs="Calibri"/>
          <w:i/>
          <w:iCs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  <w:vertAlign w:val="subscript"/>
        </w:rPr>
        <w:t>max</w:t>
      </w:r>
      <w:r>
        <w:rPr>
          <w:rFonts w:ascii="Times New Roman" w:hAnsi="Times New Roman" w:cs="Calibri"/>
          <w:szCs w:val="21"/>
          <w:highlight w:val="none"/>
        </w:rPr>
        <w:t>值在-1.93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~</w:t>
      </w:r>
      <w:r>
        <w:rPr>
          <w:rFonts w:hint="eastAsia" w:ascii="Times New Roman" w:hAnsi="Times New Roman" w:cs="Calibri"/>
          <w:szCs w:val="21"/>
          <w:highlight w:val="none"/>
        </w:rPr>
        <w:t xml:space="preserve"> </w:t>
      </w:r>
      <w:r>
        <w:rPr>
          <w:rFonts w:ascii="Times New Roman" w:hAnsi="Times New Roman" w:cs="Calibri"/>
          <w:szCs w:val="21"/>
          <w:highlight w:val="none"/>
        </w:rPr>
        <w:t>-2.06范围内，无法进行受试物致敏性分级判定，需要重新测试和/或补充额外的数据/信息进行结果判定。</w:t>
      </w:r>
    </w:p>
    <w:bookmarkEnd w:id="29"/>
    <w:p>
      <w:pPr>
        <w:spacing w:before="156" w:beforeLines="50" w:after="156" w:afterLines="50" w:line="300" w:lineRule="auto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10.</w:t>
      </w:r>
      <w:r>
        <w:rPr>
          <w:rFonts w:hint="eastAsia" w:ascii="Times New Roman" w:hAnsi="Times New Roman" w:cs="Calibri"/>
          <w:szCs w:val="21"/>
          <w:highlight w:val="none"/>
        </w:rPr>
        <w:t>4</w:t>
      </w:r>
      <w:r>
        <w:rPr>
          <w:rFonts w:ascii="Times New Roman" w:hAnsi="Times New Roman" w:cs="Calibri"/>
          <w:szCs w:val="21"/>
          <w:highlight w:val="none"/>
        </w:rPr>
        <w:t xml:space="preserve"> </w:t>
      </w:r>
      <w:r>
        <w:rPr>
          <w:rFonts w:hint="eastAsia" w:ascii="Times New Roman" w:hAnsi="Times New Roman" w:cs="Calibri"/>
          <w:szCs w:val="21"/>
          <w:highlight w:val="none"/>
        </w:rPr>
        <w:t>特殊化合物的适用性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金属化合物可通过共价结合以外的机制与蛋白质发生反应，该方法不适用于金属化合物</w:t>
      </w:r>
      <w:r>
        <w:rPr>
          <w:rFonts w:hint="eastAsia" w:ascii="Times New Roman" w:hAnsi="Times New Roman" w:cs="Calibri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cs="Calibri"/>
          <w:szCs w:val="21"/>
          <w:highlight w:val="none"/>
          <w:lang w:val="en-US" w:eastAsia="zh-CN"/>
        </w:rPr>
        <w:t>如硫酸镍，</w:t>
      </w:r>
      <w:r>
        <w:rPr>
          <w:rFonts w:hint="eastAsia" w:ascii="Times New Roman" w:hAnsi="Times New Roman" w:cs="Calibri"/>
          <w:szCs w:val="21"/>
          <w:highlight w:val="none"/>
        </w:rPr>
        <w:t>Nickel sulphate</w:t>
      </w:r>
      <w:r>
        <w:rPr>
          <w:rFonts w:hint="eastAsia" w:ascii="Times New Roman" w:hAnsi="Times New Roman" w:cs="Calibri"/>
          <w:szCs w:val="21"/>
          <w:highlight w:val="none"/>
          <w:lang w:eastAsia="zh-CN"/>
        </w:rPr>
        <w:t>）</w:t>
      </w:r>
      <w:r>
        <w:rPr>
          <w:rFonts w:ascii="Times New Roman" w:hAnsi="Times New Roman" w:cs="Calibri"/>
          <w:szCs w:val="21"/>
          <w:highlight w:val="none"/>
        </w:rPr>
        <w:t>。此外，</w:t>
      </w:r>
      <w:r>
        <w:rPr>
          <w:rFonts w:hint="eastAsia" w:ascii="Times New Roman" w:hAnsi="Times New Roman" w:cs="Calibri"/>
          <w:szCs w:val="21"/>
          <w:highlight w:val="none"/>
        </w:rPr>
        <w:t>k</w:t>
      </w:r>
      <w:r>
        <w:rPr>
          <w:rFonts w:ascii="Times New Roman" w:hAnsi="Times New Roman" w:cs="Calibri"/>
          <w:szCs w:val="21"/>
          <w:highlight w:val="none"/>
        </w:rPr>
        <w:t>DPRA仅测量与半胱氨酸肽的反应性，不适用于具有赖氨酸专属反应性的强致敏剂，如一些酰基卤化物、酚酯或醛类等。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ascii="Times New Roman" w:hAnsi="Times New Roman" w:cs="Calibri"/>
          <w:szCs w:val="21"/>
          <w:highlight w:val="none"/>
        </w:rPr>
        <w:t>有些化合物（如</w:t>
      </w:r>
      <w:r>
        <w:rPr>
          <w:rFonts w:hint="eastAsia" w:ascii="Times New Roman" w:hAnsi="Times New Roman" w:cs="Calibri"/>
          <w:szCs w:val="21"/>
          <w:highlight w:val="none"/>
        </w:rPr>
        <w:t>苯基炔丙基醛，</w:t>
      </w:r>
      <w:r>
        <w:rPr>
          <w:rFonts w:hint="eastAsia" w:ascii="Times New Roman" w:hAnsi="Times New Roman" w:cs="Calibri"/>
          <w:szCs w:val="21"/>
          <w:highlight w:val="none"/>
          <w:lang w:val="en-US" w:eastAsia="zh-CN"/>
        </w:rPr>
        <w:t>P</w:t>
      </w:r>
      <w:r>
        <w:rPr>
          <w:rFonts w:hint="eastAsia" w:ascii="Times New Roman" w:hAnsi="Times New Roman" w:cs="Calibri"/>
          <w:szCs w:val="21"/>
          <w:highlight w:val="none"/>
        </w:rPr>
        <w:t>henylpropionic aldehyde</w:t>
      </w:r>
      <w:r>
        <w:rPr>
          <w:rFonts w:ascii="Times New Roman" w:hAnsi="Times New Roman" w:cs="Calibri"/>
          <w:szCs w:val="21"/>
          <w:highlight w:val="none"/>
        </w:rPr>
        <w:t>）不与肽共价结合，但可促进其氧化（即半胱氨酸二聚化），会引起测得多肽消耗量</w:t>
      </w:r>
      <w:r>
        <w:rPr>
          <w:rFonts w:hint="eastAsia" w:ascii="Times New Roman" w:hAnsi="Times New Roman" w:cs="Calibri"/>
          <w:szCs w:val="21"/>
          <w:highlight w:val="none"/>
        </w:rPr>
        <w:t>“</w:t>
      </w:r>
      <w:r>
        <w:rPr>
          <w:rFonts w:ascii="Times New Roman" w:hAnsi="Times New Roman" w:cs="Calibri"/>
          <w:szCs w:val="21"/>
          <w:highlight w:val="none"/>
        </w:rPr>
        <w:t>增加</w:t>
      </w:r>
      <w:r>
        <w:rPr>
          <w:rFonts w:hint="eastAsia" w:ascii="Times New Roman" w:hAnsi="Times New Roman" w:cs="Calibri"/>
          <w:szCs w:val="21"/>
          <w:highlight w:val="none"/>
        </w:rPr>
        <w:t>”</w:t>
      </w:r>
      <w:r>
        <w:rPr>
          <w:rFonts w:ascii="Times New Roman" w:hAnsi="Times New Roman" w:cs="Calibri"/>
          <w:szCs w:val="21"/>
          <w:highlight w:val="none"/>
        </w:rPr>
        <w:t>，</w:t>
      </w:r>
      <w:r>
        <w:rPr>
          <w:rFonts w:hint="eastAsia" w:ascii="Times New Roman" w:hAnsi="Times New Roman" w:cs="Calibri"/>
          <w:szCs w:val="21"/>
          <w:highlight w:val="none"/>
        </w:rPr>
        <w:t>可能</w:t>
      </w:r>
      <w:r>
        <w:rPr>
          <w:rFonts w:ascii="Times New Roman" w:hAnsi="Times New Roman" w:cs="Calibri"/>
          <w:szCs w:val="21"/>
          <w:highlight w:val="none"/>
        </w:rPr>
        <w:t>导致假阳性</w:t>
      </w:r>
      <w:r>
        <w:rPr>
          <w:rFonts w:hint="eastAsia" w:ascii="Times New Roman" w:hAnsi="Times New Roman" w:cs="Calibri"/>
          <w:szCs w:val="21"/>
          <w:highlight w:val="none"/>
        </w:rPr>
        <w:t>结果</w:t>
      </w:r>
      <w:r>
        <w:rPr>
          <w:rFonts w:ascii="Times New Roman" w:hAnsi="Times New Roman" w:cs="Calibri"/>
          <w:szCs w:val="21"/>
          <w:highlight w:val="none"/>
        </w:rPr>
        <w:t>和/或</w:t>
      </w:r>
      <w:r>
        <w:rPr>
          <w:rFonts w:hint="eastAsia" w:ascii="Times New Roman" w:hAnsi="Times New Roman" w:cs="Calibri"/>
          <w:szCs w:val="21"/>
          <w:highlight w:val="none"/>
        </w:rPr>
        <w:t>预测反应性更高</w:t>
      </w:r>
      <w:r>
        <w:rPr>
          <w:rFonts w:ascii="Times New Roman" w:hAnsi="Times New Roman" w:cs="Calibri"/>
          <w:szCs w:val="21"/>
          <w:highlight w:val="none"/>
        </w:rPr>
        <w:t>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hint="eastAsia" w:ascii="Times New Roman" w:hAnsi="Times New Roman" w:cs="Calibri"/>
          <w:szCs w:val="21"/>
          <w:highlight w:val="none"/>
        </w:rPr>
        <w:t>该</w:t>
      </w:r>
      <w:r>
        <w:rPr>
          <w:rFonts w:ascii="Times New Roman" w:hAnsi="Times New Roman" w:cs="Calibri"/>
          <w:szCs w:val="21"/>
          <w:highlight w:val="none"/>
        </w:rPr>
        <w:t>方法没有代谢活化系统，不能用于检测需要进行酶促反应</w:t>
      </w:r>
      <w:r>
        <w:rPr>
          <w:rFonts w:hint="eastAsia" w:ascii="Times New Roman" w:hAnsi="Times New Roman" w:cs="Calibri"/>
          <w:szCs w:val="21"/>
          <w:highlight w:val="none"/>
        </w:rPr>
        <w:t>生物</w:t>
      </w:r>
      <w:r>
        <w:rPr>
          <w:rFonts w:ascii="Times New Roman" w:hAnsi="Times New Roman" w:cs="Calibri"/>
          <w:szCs w:val="21"/>
          <w:highlight w:val="none"/>
        </w:rPr>
        <w:t>活化后成为致敏剂的化学物质</w:t>
      </w:r>
      <w:r>
        <w:rPr>
          <w:rFonts w:hint="eastAsia" w:ascii="Times New Roman" w:hAnsi="Times New Roman" w:cs="Calibri"/>
          <w:szCs w:val="21"/>
          <w:highlight w:val="none"/>
        </w:rPr>
        <w:t>（如3-二甲氨基丙胺，3-Dimethylaminopropylamine）</w:t>
      </w:r>
      <w:r>
        <w:rPr>
          <w:rFonts w:ascii="Times New Roman" w:hAnsi="Times New Roman" w:cs="Calibri"/>
          <w:szCs w:val="21"/>
          <w:highlight w:val="none"/>
        </w:rPr>
        <w:t>。</w:t>
      </w:r>
      <w:r>
        <w:rPr>
          <w:rFonts w:hint="eastAsia" w:ascii="Times New Roman" w:hAnsi="Times New Roman" w:cs="Calibri"/>
          <w:szCs w:val="21"/>
          <w:highlight w:val="none"/>
        </w:rPr>
        <w:t>大部分通过非生物转换后形成致敏物质的化合物（如半抗原）能够被该方法正确评价，但发生自发快速氧化的半抗原</w:t>
      </w:r>
      <w:r>
        <w:rPr>
          <w:rFonts w:hint="eastAsia" w:ascii="Times New Roman" w:hAnsi="Times New Roman" w:cs="Calibri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cs="Calibri"/>
          <w:szCs w:val="21"/>
          <w:highlight w:val="none"/>
        </w:rPr>
        <w:t>如</w:t>
      </w:r>
      <w:r>
        <w:rPr>
          <w:rFonts w:hint="eastAsia" w:cs="Calibri"/>
          <w:highlight w:val="none"/>
        </w:rPr>
        <w:t>芳香胺、儿茶酚类或氢醌类</w:t>
      </w:r>
      <w:r>
        <w:rPr>
          <w:rFonts w:hint="eastAsia" w:ascii="Times New Roman" w:hAnsi="Times New Roman" w:cs="Calibri"/>
          <w:szCs w:val="21"/>
          <w:highlight w:val="none"/>
          <w:lang w:eastAsia="zh-CN"/>
        </w:rPr>
        <w:t>）</w:t>
      </w:r>
      <w:r>
        <w:rPr>
          <w:rFonts w:hint="eastAsia" w:ascii="Times New Roman" w:hAnsi="Times New Roman" w:cs="Calibri"/>
          <w:szCs w:val="21"/>
          <w:highlight w:val="none"/>
        </w:rPr>
        <w:t>由于氧化停滞阶段可引起反应速率的降低，</w:t>
      </w:r>
      <w:r>
        <w:rPr>
          <w:rFonts w:hint="eastAsia" w:cs="Calibri"/>
          <w:highlight w:val="none"/>
        </w:rPr>
        <w:t>需要更多数据确定其在氧化条件下的弱反应性。</w:t>
      </w:r>
    </w:p>
    <w:p>
      <w:pPr>
        <w:spacing w:line="300" w:lineRule="auto"/>
        <w:ind w:firstLine="420" w:firstLineChars="200"/>
        <w:rPr>
          <w:rFonts w:ascii="Times New Roman" w:hAnsi="Times New Roman" w:cs="Calibri"/>
          <w:szCs w:val="21"/>
          <w:highlight w:val="none"/>
        </w:rPr>
      </w:pPr>
      <w:r>
        <w:rPr>
          <w:rFonts w:hint="default" w:ascii="Times New Roman" w:hAnsi="Times New Roman" w:cs="Calibri"/>
          <w:szCs w:val="21"/>
          <w:highlight w:val="none"/>
          <w:lang w:val="en-US" w:eastAsia="zh-CN"/>
        </w:rPr>
        <w:t>由于</w:t>
      </w:r>
      <w:r>
        <w:rPr>
          <w:rFonts w:ascii="Times New Roman" w:hAnsi="Times New Roman" w:cs="Calibri"/>
          <w:szCs w:val="21"/>
          <w:highlight w:val="none"/>
        </w:rPr>
        <w:t>kDPRA</w:t>
      </w:r>
      <w:r>
        <w:rPr>
          <w:rFonts w:hint="default" w:ascii="Times New Roman" w:hAnsi="Times New Roman" w:cs="Calibri"/>
          <w:szCs w:val="21"/>
          <w:highlight w:val="none"/>
          <w:lang w:val="en-US" w:eastAsia="zh-CN"/>
        </w:rPr>
        <w:t>采用荧光检测技术，具有</w:t>
      </w:r>
      <w:r>
        <w:rPr>
          <w:rFonts w:ascii="Times New Roman" w:hAnsi="Times New Roman" w:cs="Calibri"/>
          <w:szCs w:val="21"/>
          <w:highlight w:val="none"/>
        </w:rPr>
        <w:t>自</w:t>
      </w:r>
      <w:r>
        <w:rPr>
          <w:rFonts w:hint="default" w:ascii="Times New Roman" w:hAnsi="Times New Roman" w:cs="Calibri"/>
          <w:szCs w:val="21"/>
          <w:highlight w:val="none"/>
          <w:lang w:val="en-US" w:eastAsia="zh-CN"/>
        </w:rPr>
        <w:t>发</w:t>
      </w:r>
      <w:r>
        <w:rPr>
          <w:rFonts w:ascii="Times New Roman" w:hAnsi="Times New Roman" w:cs="Calibri"/>
          <w:szCs w:val="21"/>
          <w:highlight w:val="none"/>
        </w:rPr>
        <w:t>荧光</w:t>
      </w:r>
      <w:r>
        <w:rPr>
          <w:rFonts w:hint="eastAsia" w:ascii="Times New Roman" w:hAnsi="Times New Roman" w:cs="Calibri"/>
          <w:szCs w:val="21"/>
          <w:highlight w:val="none"/>
        </w:rPr>
        <w:t>（如3,3',4',5-四氯水杨酰苯胺，</w:t>
      </w:r>
      <w:r>
        <w:rPr>
          <w:rFonts w:hint="default" w:ascii="Times New Roman" w:hAnsi="Times New Roman" w:eastAsia="宋体" w:cs="Calibri"/>
          <w:sz w:val="21"/>
          <w:szCs w:val="21"/>
          <w:highlight w:val="none"/>
        </w:rPr>
        <w:t>Tetrachlorosalicylanilide</w:t>
      </w:r>
      <w:r>
        <w:rPr>
          <w:rFonts w:hint="eastAsia" w:ascii="Times New Roman" w:hAnsi="Times New Roman" w:cs="Calibri"/>
          <w:szCs w:val="21"/>
          <w:highlight w:val="none"/>
        </w:rPr>
        <w:t>）</w:t>
      </w:r>
      <w:r>
        <w:rPr>
          <w:rFonts w:hint="default" w:ascii="Times New Roman" w:hAnsi="Times New Roman" w:cs="Calibri"/>
          <w:szCs w:val="21"/>
          <w:highlight w:val="none"/>
          <w:lang w:val="en-US" w:eastAsia="zh-CN"/>
        </w:rPr>
        <w:t>或荧光淬灭</w:t>
      </w:r>
      <w:r>
        <w:rPr>
          <w:rFonts w:hint="default" w:ascii="Times New Roman" w:hAnsi="Times New Roman" w:cs="Calibri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cs="Calibri"/>
          <w:szCs w:val="21"/>
          <w:highlight w:val="none"/>
          <w:lang w:val="en-US" w:eastAsia="zh-CN"/>
        </w:rPr>
        <w:t>如香兰素，</w:t>
      </w:r>
      <w:r>
        <w:rPr>
          <w:rFonts w:hint="default" w:ascii="Times New Roman" w:hAnsi="Times New Roman" w:eastAsia="宋体" w:cs="Calibri"/>
          <w:color w:val="auto"/>
          <w:kern w:val="2"/>
          <w:sz w:val="21"/>
          <w:szCs w:val="21"/>
          <w:highlight w:val="none"/>
          <w:lang w:val="en-US" w:eastAsia="zh-CN" w:bidi="ar"/>
        </w:rPr>
        <w:t>Vanilin</w:t>
      </w:r>
      <w:r>
        <w:rPr>
          <w:rFonts w:hint="default" w:ascii="Times New Roman" w:hAnsi="Times New Roman" w:cs="Calibri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cs="Calibri"/>
          <w:szCs w:val="21"/>
          <w:highlight w:val="none"/>
          <w:lang w:val="en-US" w:eastAsia="zh-CN"/>
        </w:rPr>
        <w:t>的受试物可影响试验结果。此外，应注意受试物</w:t>
      </w:r>
      <w:r>
        <w:rPr>
          <w:rFonts w:hint="eastAsia" w:ascii="Times New Roman" w:hAnsi="Times New Roman" w:cs="Calibri"/>
          <w:szCs w:val="21"/>
          <w:highlight w:val="none"/>
        </w:rPr>
        <w:t>与</w:t>
      </w:r>
      <w:r>
        <w:rPr>
          <w:rFonts w:ascii="Times New Roman" w:hAnsi="Times New Roman" w:cs="Calibri"/>
          <w:szCs w:val="21"/>
          <w:highlight w:val="none"/>
        </w:rPr>
        <w:t>单溴二胺</w:t>
      </w:r>
      <w:r>
        <w:rPr>
          <w:rFonts w:hint="default" w:ascii="Times New Roman" w:hAnsi="Times New Roman" w:cs="Calibri"/>
          <w:szCs w:val="21"/>
          <w:highlight w:val="none"/>
          <w:lang w:val="en-US" w:eastAsia="zh-CN"/>
        </w:rPr>
        <w:t>的</w:t>
      </w:r>
      <w:r>
        <w:rPr>
          <w:rFonts w:ascii="Times New Roman" w:hAnsi="Times New Roman" w:cs="Calibri"/>
          <w:szCs w:val="21"/>
          <w:highlight w:val="none"/>
        </w:rPr>
        <w:t>相互作用</w:t>
      </w:r>
      <w:r>
        <w:rPr>
          <w:rFonts w:hint="default" w:ascii="Times New Roman" w:hAnsi="Times New Roman" w:cs="Calibri"/>
          <w:szCs w:val="21"/>
          <w:highlight w:val="none"/>
          <w:lang w:eastAsia="zh-CN"/>
        </w:rPr>
        <w:t>，</w:t>
      </w:r>
      <w:r>
        <w:rPr>
          <w:rFonts w:ascii="Times New Roman" w:hAnsi="Times New Roman" w:cs="Calibri"/>
          <w:szCs w:val="21"/>
          <w:highlight w:val="none"/>
        </w:rPr>
        <w:t>如硫醇</w:t>
      </w:r>
      <w:r>
        <w:rPr>
          <w:rFonts w:hint="eastAsia" w:ascii="Times New Roman" w:hAnsi="Times New Roman" w:cs="Calibri"/>
          <w:szCs w:val="21"/>
          <w:highlight w:val="none"/>
        </w:rPr>
        <w:t>结构中的-SH</w:t>
      </w:r>
      <w:r>
        <w:rPr>
          <w:rFonts w:ascii="Times New Roman" w:hAnsi="Times New Roman" w:cs="Calibri"/>
          <w:szCs w:val="21"/>
          <w:highlight w:val="none"/>
        </w:rPr>
        <w:t>可以与单溴二胺相互作用，导致荧光增强，因此</w:t>
      </w:r>
      <w:r>
        <w:rPr>
          <w:rFonts w:hint="default" w:ascii="Times New Roman" w:hAnsi="Times New Roman" w:cs="Calibri"/>
          <w:szCs w:val="21"/>
          <w:highlight w:val="none"/>
          <w:lang w:val="en-US" w:eastAsia="zh-CN"/>
        </w:rPr>
        <w:t>该方法</w:t>
      </w:r>
      <w:r>
        <w:rPr>
          <w:rFonts w:ascii="Times New Roman" w:hAnsi="Times New Roman" w:cs="Calibri"/>
          <w:szCs w:val="21"/>
          <w:highlight w:val="none"/>
        </w:rPr>
        <w:t>不适用于</w:t>
      </w:r>
      <w:r>
        <w:rPr>
          <w:rFonts w:hint="eastAsia" w:ascii="Times New Roman" w:hAnsi="Times New Roman" w:cs="Calibri"/>
          <w:szCs w:val="21"/>
          <w:highlight w:val="none"/>
        </w:rPr>
        <w:t>硫醇类物质</w:t>
      </w:r>
      <w:r>
        <w:rPr>
          <w:rFonts w:ascii="Times New Roman" w:hAnsi="Times New Roman" w:cs="Calibri"/>
          <w:szCs w:val="21"/>
          <w:highlight w:val="none"/>
        </w:rPr>
        <w:t>，包括在试验条件下产生并释放游离</w:t>
      </w:r>
      <w:r>
        <w:rPr>
          <w:rFonts w:hint="eastAsia" w:ascii="Times New Roman" w:hAnsi="Times New Roman" w:cs="Calibri"/>
          <w:szCs w:val="21"/>
          <w:highlight w:val="none"/>
        </w:rPr>
        <w:t>-</w:t>
      </w:r>
      <w:r>
        <w:rPr>
          <w:rFonts w:ascii="Times New Roman" w:hAnsi="Times New Roman" w:cs="Calibri"/>
          <w:szCs w:val="21"/>
          <w:highlight w:val="none"/>
        </w:rPr>
        <w:t>SH的物质。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PGothic">
    <w:altName w:val="宋体"/>
    <w:panose1 w:val="020B0600070205080204"/>
    <w:charset w:val="80"/>
    <w:family w:val="swiss"/>
    <w:pitch w:val="default"/>
    <w:sig w:usb0="00000000" w:usb1="00000000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</w:rPr>
                            <w:id w:val="147482836"/>
                          </w:sdtPr>
                          <w:sdtEndPr>
                            <w:rPr>
                              <w:rFonts w:ascii="Times New Roman" w:hAnsi="Times New Roman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vY9gwLAIAAFU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K9j2DA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/>
                      </w:rPr>
                      <w:id w:val="147482836"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ugv7LAIAAFU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J66C/s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NDg2MmEwNmQ1NTgzNWFkZDM5ZTZkNTJlNTFlNjQifQ=="/>
  </w:docVars>
  <w:rsids>
    <w:rsidRoot w:val="001E51B9"/>
    <w:rsid w:val="000104FE"/>
    <w:rsid w:val="00082020"/>
    <w:rsid w:val="00094B85"/>
    <w:rsid w:val="000B3EE8"/>
    <w:rsid w:val="000E742B"/>
    <w:rsid w:val="0014250E"/>
    <w:rsid w:val="00144001"/>
    <w:rsid w:val="00154737"/>
    <w:rsid w:val="00163440"/>
    <w:rsid w:val="001927A2"/>
    <w:rsid w:val="00192F7A"/>
    <w:rsid w:val="001B4362"/>
    <w:rsid w:val="001E17D3"/>
    <w:rsid w:val="001E51B9"/>
    <w:rsid w:val="002128E7"/>
    <w:rsid w:val="00212CDD"/>
    <w:rsid w:val="00283CC9"/>
    <w:rsid w:val="00284E54"/>
    <w:rsid w:val="002D352A"/>
    <w:rsid w:val="002E0C4F"/>
    <w:rsid w:val="002F7054"/>
    <w:rsid w:val="003446F9"/>
    <w:rsid w:val="00360804"/>
    <w:rsid w:val="00386E41"/>
    <w:rsid w:val="00433C10"/>
    <w:rsid w:val="00434554"/>
    <w:rsid w:val="00455503"/>
    <w:rsid w:val="00457B40"/>
    <w:rsid w:val="00462078"/>
    <w:rsid w:val="00463AF1"/>
    <w:rsid w:val="004721C1"/>
    <w:rsid w:val="00481812"/>
    <w:rsid w:val="00492DF7"/>
    <w:rsid w:val="004B5A36"/>
    <w:rsid w:val="004D72F4"/>
    <w:rsid w:val="004F62B4"/>
    <w:rsid w:val="00500F70"/>
    <w:rsid w:val="00527A63"/>
    <w:rsid w:val="00536E7B"/>
    <w:rsid w:val="0058230E"/>
    <w:rsid w:val="005832F1"/>
    <w:rsid w:val="00595FF1"/>
    <w:rsid w:val="00597BC2"/>
    <w:rsid w:val="005F3533"/>
    <w:rsid w:val="0060366B"/>
    <w:rsid w:val="00626C5E"/>
    <w:rsid w:val="00636188"/>
    <w:rsid w:val="00664BB2"/>
    <w:rsid w:val="006878AA"/>
    <w:rsid w:val="00694055"/>
    <w:rsid w:val="006A12D5"/>
    <w:rsid w:val="006C0F22"/>
    <w:rsid w:val="006C7CFA"/>
    <w:rsid w:val="006C7E5F"/>
    <w:rsid w:val="006D6717"/>
    <w:rsid w:val="006D786E"/>
    <w:rsid w:val="00717CDE"/>
    <w:rsid w:val="007255B1"/>
    <w:rsid w:val="00756128"/>
    <w:rsid w:val="0077080F"/>
    <w:rsid w:val="007778CE"/>
    <w:rsid w:val="00782629"/>
    <w:rsid w:val="00785D93"/>
    <w:rsid w:val="00786607"/>
    <w:rsid w:val="00787971"/>
    <w:rsid w:val="007B0FC3"/>
    <w:rsid w:val="007C2A05"/>
    <w:rsid w:val="007F5660"/>
    <w:rsid w:val="00841E07"/>
    <w:rsid w:val="00850D16"/>
    <w:rsid w:val="00861C3A"/>
    <w:rsid w:val="008C79D4"/>
    <w:rsid w:val="008C7F73"/>
    <w:rsid w:val="008E722A"/>
    <w:rsid w:val="008F04CD"/>
    <w:rsid w:val="00931065"/>
    <w:rsid w:val="00971523"/>
    <w:rsid w:val="00973CCA"/>
    <w:rsid w:val="009755BD"/>
    <w:rsid w:val="0098738F"/>
    <w:rsid w:val="00987CEE"/>
    <w:rsid w:val="009D32EB"/>
    <w:rsid w:val="009D5D1B"/>
    <w:rsid w:val="009F724E"/>
    <w:rsid w:val="00A12D14"/>
    <w:rsid w:val="00A13460"/>
    <w:rsid w:val="00A1410D"/>
    <w:rsid w:val="00A55369"/>
    <w:rsid w:val="00AD7064"/>
    <w:rsid w:val="00AE2D55"/>
    <w:rsid w:val="00AE4515"/>
    <w:rsid w:val="00B04C72"/>
    <w:rsid w:val="00B60A53"/>
    <w:rsid w:val="00BC028D"/>
    <w:rsid w:val="00BD0898"/>
    <w:rsid w:val="00C4775D"/>
    <w:rsid w:val="00C90327"/>
    <w:rsid w:val="00CB361B"/>
    <w:rsid w:val="00CB4E76"/>
    <w:rsid w:val="00CC7441"/>
    <w:rsid w:val="00CD1FA3"/>
    <w:rsid w:val="00CE0C0A"/>
    <w:rsid w:val="00CF2006"/>
    <w:rsid w:val="00CF6D01"/>
    <w:rsid w:val="00D02E25"/>
    <w:rsid w:val="00D113B7"/>
    <w:rsid w:val="00D17528"/>
    <w:rsid w:val="00D26D65"/>
    <w:rsid w:val="00D62AC5"/>
    <w:rsid w:val="00D70A10"/>
    <w:rsid w:val="00DA0A1E"/>
    <w:rsid w:val="00DC4A83"/>
    <w:rsid w:val="00DE1560"/>
    <w:rsid w:val="00DE553F"/>
    <w:rsid w:val="00DF3C15"/>
    <w:rsid w:val="00E24149"/>
    <w:rsid w:val="00E30C65"/>
    <w:rsid w:val="00E50261"/>
    <w:rsid w:val="00E56CF2"/>
    <w:rsid w:val="00E57B2C"/>
    <w:rsid w:val="00E666D5"/>
    <w:rsid w:val="00E671DC"/>
    <w:rsid w:val="00EB232A"/>
    <w:rsid w:val="00EE3904"/>
    <w:rsid w:val="00F02076"/>
    <w:rsid w:val="00F302F8"/>
    <w:rsid w:val="00F51601"/>
    <w:rsid w:val="00F52317"/>
    <w:rsid w:val="00F530B7"/>
    <w:rsid w:val="00F60DEE"/>
    <w:rsid w:val="00F81B0D"/>
    <w:rsid w:val="00F86206"/>
    <w:rsid w:val="00FD16F0"/>
    <w:rsid w:val="00FE6331"/>
    <w:rsid w:val="01992F0C"/>
    <w:rsid w:val="04F1535B"/>
    <w:rsid w:val="06A353BD"/>
    <w:rsid w:val="0B836C9C"/>
    <w:rsid w:val="0BBB0D75"/>
    <w:rsid w:val="10035C7F"/>
    <w:rsid w:val="1FA014BE"/>
    <w:rsid w:val="20F43BF5"/>
    <w:rsid w:val="23066C09"/>
    <w:rsid w:val="24A5668D"/>
    <w:rsid w:val="267FCC79"/>
    <w:rsid w:val="29E64F12"/>
    <w:rsid w:val="373A57EA"/>
    <w:rsid w:val="39F976BE"/>
    <w:rsid w:val="3C7A5098"/>
    <w:rsid w:val="3CF4361D"/>
    <w:rsid w:val="49F84D68"/>
    <w:rsid w:val="4EEF0E82"/>
    <w:rsid w:val="4FDD4F54"/>
    <w:rsid w:val="547F5AFB"/>
    <w:rsid w:val="54A97BFF"/>
    <w:rsid w:val="5AB85696"/>
    <w:rsid w:val="5D48361B"/>
    <w:rsid w:val="5D811540"/>
    <w:rsid w:val="65E825C4"/>
    <w:rsid w:val="693D1D24"/>
    <w:rsid w:val="6DAE4B5C"/>
    <w:rsid w:val="7AFD589D"/>
    <w:rsid w:val="7BFD531D"/>
    <w:rsid w:val="7F36143D"/>
    <w:rsid w:val="7F674E25"/>
    <w:rsid w:val="9D1FF12E"/>
    <w:rsid w:val="DFCF8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2">
    <w:name w:val="样式1"/>
    <w:basedOn w:val="1"/>
    <w:next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页眉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文字 Char"/>
    <w:basedOn w:val="10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2">
    <w:name w:val="批注主题 Char"/>
    <w:basedOn w:val="21"/>
    <w:link w:val="7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1892</Words>
  <Characters>2562</Characters>
  <Lines>47</Lines>
  <Paragraphs>13</Paragraphs>
  <TotalTime>2</TotalTime>
  <ScaleCrop>false</ScaleCrop>
  <LinksUpToDate>false</LinksUpToDate>
  <CharactersWithSpaces>2712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2025-07-16T22:05:00Z</dcterms:created>
  <dc:creator>邢书霞</dc:creator>
  <cp:lastModifiedBy>chenzd</cp:lastModifiedBy>
  <dcterms:modified xsi:type="dcterms:W3CDTF">2025-08-29T14:52:20Z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eyJoZGlkIjoiZjRhOWUwY2M3NGY1YWRiN2RjYThkOWUzMDM5OWQ5YTgifQ==</vt:lpwstr>
  </property>
  <property fmtid="{D5CDD505-2E9C-101B-9397-08002B2CF9AE}" pid="3" name="KSOProductBuildVer">
    <vt:lpwstr>2052-11.8.2.11929</vt:lpwstr>
  </property>
  <property fmtid="{D5CDD505-2E9C-101B-9397-08002B2CF9AE}" pid="4" name="ICV">
    <vt:lpwstr>35DDFA443D0C43BD8CC8B2A2B529846C_13</vt:lpwstr>
  </property>
</Properties>
</file>